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1DF7" w:rsidRPr="003565B6" w:rsidRDefault="00DB1DF7" w:rsidP="00DB1DF7">
      <w:pPr>
        <w:rPr>
          <w:b/>
          <w:bCs/>
        </w:rPr>
      </w:pPr>
    </w:p>
    <w:p w:rsidR="00DB1DF7" w:rsidRPr="003565B6" w:rsidRDefault="00DB1DF7" w:rsidP="00DB1DF7">
      <w:pPr>
        <w:spacing w:after="0"/>
        <w:rPr>
          <w:rFonts w:ascii="Trebuchet MS" w:hAnsi="Trebuchet MS"/>
          <w:b/>
          <w:bCs/>
        </w:rPr>
      </w:pPr>
      <w:r w:rsidRPr="003565B6">
        <w:rPr>
          <w:rFonts w:ascii="Trebuchet MS" w:hAnsi="Trebuchet MS"/>
          <w:b/>
          <w:bCs/>
        </w:rPr>
        <w:t>Concepto 1021 [020776]</w:t>
      </w:r>
    </w:p>
    <w:p w:rsidR="00DB1DF7" w:rsidRPr="003565B6" w:rsidRDefault="00DB1DF7" w:rsidP="00DB1DF7">
      <w:pPr>
        <w:spacing w:after="0"/>
        <w:rPr>
          <w:rFonts w:ascii="Trebuchet MS" w:hAnsi="Trebuchet MS"/>
          <w:b/>
          <w:bCs/>
        </w:rPr>
      </w:pPr>
      <w:r w:rsidRPr="003565B6">
        <w:rPr>
          <w:rFonts w:ascii="Trebuchet MS" w:hAnsi="Trebuchet MS"/>
          <w:b/>
          <w:bCs/>
        </w:rPr>
        <w:t>15-11-2024</w:t>
      </w:r>
    </w:p>
    <w:p w:rsidR="00DB1DF7" w:rsidRPr="003565B6" w:rsidRDefault="00DB1DF7" w:rsidP="00DB1DF7">
      <w:pPr>
        <w:spacing w:after="0"/>
        <w:rPr>
          <w:rFonts w:ascii="Trebuchet MS" w:hAnsi="Trebuchet MS"/>
          <w:b/>
          <w:bCs/>
        </w:rPr>
      </w:pPr>
      <w:r w:rsidRPr="003565B6">
        <w:rPr>
          <w:rFonts w:ascii="Trebuchet MS" w:hAnsi="Trebuchet MS"/>
          <w:b/>
          <w:bCs/>
        </w:rPr>
        <w:t>DIAN</w:t>
      </w:r>
    </w:p>
    <w:p w:rsidR="00DB1DF7" w:rsidRPr="003565B6" w:rsidRDefault="00DB1DF7" w:rsidP="00DB1DF7">
      <w:pPr>
        <w:spacing w:after="0"/>
        <w:rPr>
          <w:rFonts w:ascii="Trebuchet MS" w:hAnsi="Trebuchet MS"/>
          <w:b/>
          <w:bCs/>
        </w:rPr>
      </w:pPr>
      <w:r w:rsidRPr="003565B6">
        <w:rPr>
          <w:rFonts w:ascii="Trebuchet MS" w:hAnsi="Trebuchet MS"/>
          <w:b/>
          <w:bCs/>
        </w:rPr>
        <w:t>100208192 - 1021</w:t>
      </w:r>
    </w:p>
    <w:p w:rsidR="00DB1DF7" w:rsidRPr="003565B6" w:rsidRDefault="00DB1DF7" w:rsidP="00DB1DF7">
      <w:pPr>
        <w:spacing w:after="0"/>
        <w:rPr>
          <w:rFonts w:ascii="Trebuchet MS" w:hAnsi="Trebuchet MS"/>
          <w:b/>
          <w:bCs/>
        </w:rPr>
      </w:pPr>
      <w:r w:rsidRPr="003565B6">
        <w:rPr>
          <w:rFonts w:ascii="Trebuchet MS" w:hAnsi="Trebuchet MS"/>
          <w:b/>
          <w:bCs/>
        </w:rPr>
        <w:t>Bogotá, D.C.</w:t>
      </w:r>
    </w:p>
    <w:p w:rsidR="00DB1DF7" w:rsidRPr="003565B6" w:rsidRDefault="00DB1DF7" w:rsidP="00DB1DF7">
      <w:pPr>
        <w:spacing w:after="0"/>
        <w:rPr>
          <w:rFonts w:ascii="Trebuchet MS" w:hAnsi="Trebuchet MS"/>
        </w:rPr>
      </w:pPr>
    </w:p>
    <w:p w:rsidR="003565B6" w:rsidRPr="003565B6" w:rsidRDefault="00DB1DF7" w:rsidP="00DB1DF7">
      <w:pPr>
        <w:spacing w:after="0"/>
        <w:rPr>
          <w:rFonts w:ascii="Trebuchet MS" w:hAnsi="Trebuchet MS"/>
          <w:b/>
          <w:bCs/>
        </w:rPr>
      </w:pPr>
      <w:r w:rsidRPr="003565B6">
        <w:rPr>
          <w:rFonts w:ascii="Trebuchet MS" w:hAnsi="Trebuchet MS"/>
          <w:b/>
          <w:bCs/>
        </w:rPr>
        <w:t xml:space="preserve"> </w:t>
      </w:r>
    </w:p>
    <w:p w:rsidR="00DB1DF7" w:rsidRPr="003565B6" w:rsidRDefault="00DB1DF7" w:rsidP="00DB1DF7">
      <w:pPr>
        <w:spacing w:after="0"/>
        <w:rPr>
          <w:rFonts w:ascii="Trebuchet MS" w:hAnsi="Trebuchet MS"/>
          <w:b/>
          <w:bCs/>
        </w:rPr>
      </w:pPr>
      <w:r w:rsidRPr="003565B6">
        <w:rPr>
          <w:rFonts w:ascii="Trebuchet MS" w:hAnsi="Trebuchet MS"/>
          <w:b/>
          <w:bCs/>
        </w:rPr>
        <w:t>Tema:</w:t>
      </w:r>
    </w:p>
    <w:p w:rsidR="00DB1DF7" w:rsidRPr="003565B6" w:rsidRDefault="00DB1DF7" w:rsidP="00DB1DF7">
      <w:pPr>
        <w:rPr>
          <w:rFonts w:ascii="Trebuchet MS" w:hAnsi="Trebuchet MS"/>
        </w:rPr>
      </w:pPr>
      <w:r w:rsidRPr="003565B6">
        <w:rPr>
          <w:rFonts w:ascii="Trebuchet MS" w:hAnsi="Trebuchet MS"/>
        </w:rPr>
        <w:t>Impuesto sobre la renta y complementarios</w:t>
      </w:r>
    </w:p>
    <w:p w:rsidR="00DB1DF7" w:rsidRPr="003565B6" w:rsidRDefault="00DB1DF7" w:rsidP="00DB1DF7">
      <w:pPr>
        <w:spacing w:after="0"/>
        <w:rPr>
          <w:rFonts w:ascii="Trebuchet MS" w:hAnsi="Trebuchet MS"/>
          <w:b/>
          <w:bCs/>
        </w:rPr>
      </w:pPr>
      <w:r w:rsidRPr="003565B6">
        <w:rPr>
          <w:rFonts w:ascii="Trebuchet MS" w:hAnsi="Trebuchet MS"/>
          <w:b/>
          <w:bCs/>
        </w:rPr>
        <w:t>Descriptores:</w:t>
      </w:r>
    </w:p>
    <w:p w:rsidR="00DB1DF7" w:rsidRPr="003565B6" w:rsidRDefault="00DB1DF7" w:rsidP="00DB1DF7">
      <w:pPr>
        <w:spacing w:after="0"/>
        <w:rPr>
          <w:rFonts w:ascii="Trebuchet MS" w:hAnsi="Trebuchet MS"/>
        </w:rPr>
      </w:pPr>
      <w:r w:rsidRPr="003565B6">
        <w:rPr>
          <w:rFonts w:ascii="Trebuchet MS" w:hAnsi="Trebuchet MS"/>
        </w:rPr>
        <w:t>Autorretención en la fuente</w:t>
      </w:r>
    </w:p>
    <w:p w:rsidR="00DB1DF7" w:rsidRPr="003565B6" w:rsidRDefault="00DB1DF7" w:rsidP="00DB1DF7">
      <w:pPr>
        <w:spacing w:after="0"/>
        <w:rPr>
          <w:rFonts w:ascii="Trebuchet MS" w:hAnsi="Trebuchet MS"/>
        </w:rPr>
      </w:pPr>
      <w:r w:rsidRPr="003565B6">
        <w:rPr>
          <w:rFonts w:ascii="Trebuchet MS" w:hAnsi="Trebuchet MS"/>
        </w:rPr>
        <w:t>Autorretenciones presentadas sin pago</w:t>
      </w:r>
    </w:p>
    <w:p w:rsidR="00DB1DF7" w:rsidRPr="003565B6" w:rsidRDefault="00DB1DF7" w:rsidP="00DB1DF7">
      <w:pPr>
        <w:spacing w:after="0"/>
        <w:rPr>
          <w:rFonts w:ascii="Trebuchet MS" w:hAnsi="Trebuchet MS"/>
        </w:rPr>
      </w:pPr>
      <w:r w:rsidRPr="003565B6">
        <w:rPr>
          <w:rFonts w:ascii="Trebuchet MS" w:hAnsi="Trebuchet MS"/>
        </w:rPr>
        <w:t>Intereses moratorios</w:t>
      </w:r>
    </w:p>
    <w:p w:rsidR="00DB1DF7" w:rsidRPr="003565B6" w:rsidRDefault="00DB1DF7" w:rsidP="00DB1DF7">
      <w:pPr>
        <w:spacing w:after="0"/>
        <w:rPr>
          <w:rFonts w:ascii="Trebuchet MS" w:hAnsi="Trebuchet MS"/>
        </w:rPr>
      </w:pPr>
      <w:r w:rsidRPr="003565B6">
        <w:rPr>
          <w:rFonts w:ascii="Trebuchet MS" w:hAnsi="Trebuchet MS"/>
        </w:rPr>
        <w:t>Fuentes formales:</w:t>
      </w:r>
    </w:p>
    <w:p w:rsidR="00DB1DF7" w:rsidRPr="003565B6" w:rsidRDefault="00DB1DF7" w:rsidP="00DB1DF7">
      <w:pPr>
        <w:spacing w:after="0"/>
        <w:rPr>
          <w:rFonts w:ascii="Trebuchet MS" w:hAnsi="Trebuchet MS"/>
        </w:rPr>
      </w:pPr>
      <w:r w:rsidRPr="003565B6">
        <w:rPr>
          <w:rFonts w:ascii="Trebuchet MS" w:hAnsi="Trebuchet MS"/>
        </w:rPr>
        <w:t>Artículos 365, 366, 367, 368, 373 y 571 del Estatuto Tributario</w:t>
      </w:r>
    </w:p>
    <w:p w:rsidR="00DB1DF7" w:rsidRPr="003565B6" w:rsidRDefault="00DB1DF7" w:rsidP="00DB1DF7">
      <w:pPr>
        <w:rPr>
          <w:rFonts w:ascii="Trebuchet MS" w:hAnsi="Trebuchet MS"/>
        </w:rPr>
      </w:pPr>
    </w:p>
    <w:p w:rsidR="00DB1DF7" w:rsidRPr="003565B6" w:rsidRDefault="00DB1DF7" w:rsidP="00DB1DF7">
      <w:pPr>
        <w:rPr>
          <w:rFonts w:ascii="Trebuchet MS" w:hAnsi="Trebuchet MS"/>
        </w:rPr>
      </w:pPr>
      <w:r w:rsidRPr="003565B6">
        <w:rPr>
          <w:rFonts w:ascii="Trebuchet MS" w:hAnsi="Trebuchet MS"/>
        </w:rPr>
        <w:t>Cordial saludo,</w:t>
      </w:r>
    </w:p>
    <w:p w:rsidR="00DB1DF7" w:rsidRPr="003565B6" w:rsidRDefault="00DB1DF7" w:rsidP="00DB1DF7">
      <w:pPr>
        <w:rPr>
          <w:rFonts w:ascii="Trebuchet MS" w:hAnsi="Trebuchet MS"/>
        </w:rPr>
      </w:pPr>
      <w:r w:rsidRPr="003565B6">
        <w:rPr>
          <w:rFonts w:ascii="Trebuchet MS" w:hAnsi="Trebuchet MS"/>
        </w:rPr>
        <w:t>Esta Subdirección está facultada para absolver las consultas escritas, presentadas de manera general, sobre la interpretación y aplicación de las normas tributarias, aduaneras y de fiscalización cambiaria, en lo de competencia de la DIAN1. En este sentido, la doctrina emitida será de carácter general, no se referirá a asuntos particulares y se someterá a lo consagrado en el artículo 131 de la Ley 2010 de 20192.</w:t>
      </w:r>
    </w:p>
    <w:p w:rsidR="00DB1DF7" w:rsidRPr="003565B6" w:rsidRDefault="00DB1DF7" w:rsidP="00DB1DF7">
      <w:pPr>
        <w:rPr>
          <w:rFonts w:ascii="Trebuchet MS" w:hAnsi="Trebuchet MS"/>
        </w:rPr>
      </w:pPr>
      <w:r w:rsidRPr="003565B6">
        <w:rPr>
          <w:rFonts w:ascii="Trebuchet MS" w:hAnsi="Trebuchet MS"/>
        </w:rPr>
        <w:t>Problema Jurídico.</w:t>
      </w:r>
    </w:p>
    <w:p w:rsidR="00DB1DF7" w:rsidRPr="003565B6" w:rsidRDefault="00DB1DF7" w:rsidP="00DB1DF7">
      <w:pPr>
        <w:rPr>
          <w:rFonts w:ascii="Trebuchet MS" w:hAnsi="Trebuchet MS"/>
        </w:rPr>
      </w:pPr>
      <w:r w:rsidRPr="003565B6">
        <w:rPr>
          <w:rFonts w:ascii="Trebuchet MS" w:hAnsi="Trebuchet MS"/>
        </w:rPr>
        <w:t>1. ¿Es procedente el cobro coactivo de los valores declarados y no pagados por concepto de autorretenciones, en aquellos casos en los que el autorretenedor ha cumplido con la declaración y el pago del impuesto sobre la renta y complementario?</w:t>
      </w:r>
    </w:p>
    <w:p w:rsidR="00DB1DF7" w:rsidRPr="003565B6" w:rsidRDefault="00DB1DF7" w:rsidP="00DB1DF7">
      <w:pPr>
        <w:rPr>
          <w:rFonts w:ascii="Trebuchet MS" w:hAnsi="Trebuchet MS"/>
        </w:rPr>
      </w:pPr>
      <w:r w:rsidRPr="003565B6">
        <w:rPr>
          <w:rFonts w:ascii="Trebuchet MS" w:hAnsi="Trebuchet MS"/>
        </w:rPr>
        <w:t>Tesis Jurídica.</w:t>
      </w:r>
    </w:p>
    <w:p w:rsidR="00DB1DF7" w:rsidRPr="003565B6" w:rsidRDefault="00DB1DF7" w:rsidP="00DB1DF7">
      <w:pPr>
        <w:rPr>
          <w:rFonts w:ascii="Trebuchet MS" w:hAnsi="Trebuchet MS"/>
        </w:rPr>
      </w:pPr>
      <w:r w:rsidRPr="003565B6">
        <w:rPr>
          <w:rFonts w:ascii="Trebuchet MS" w:hAnsi="Trebuchet MS"/>
        </w:rPr>
        <w:t>2. No es procedente el cobro coactivo de los valores no pagados por autorretenciones declaradas, siempre que el autorretenedor haya cumplido con la declaración y pago total del impuesto sobre la renta. Lo anterior, puesto que el pago de la obligación sustancial se considera cumplido con la presentación y pago de la declaración del impuesto sobre la renta. Esto con excepción de los intereses de mora y sanciones por el incumplimiento del deber de pagar las autorretenciones en la fuente presentadas sin pago y que se liquidan según los parámetros señalados en la interpretación oficial3.</w:t>
      </w:r>
    </w:p>
    <w:p w:rsidR="00DB1DF7" w:rsidRPr="003565B6" w:rsidRDefault="00DB1DF7" w:rsidP="00DB1DF7">
      <w:pPr>
        <w:rPr>
          <w:rFonts w:ascii="Trebuchet MS" w:hAnsi="Trebuchet MS"/>
        </w:rPr>
      </w:pPr>
      <w:r w:rsidRPr="003565B6">
        <w:rPr>
          <w:rFonts w:ascii="Trebuchet MS" w:hAnsi="Trebuchet MS"/>
        </w:rPr>
        <w:t>Fundamentación.</w:t>
      </w:r>
    </w:p>
    <w:p w:rsidR="00DB1DF7" w:rsidRPr="003565B6" w:rsidRDefault="00DB1DF7" w:rsidP="00DB1DF7">
      <w:pPr>
        <w:rPr>
          <w:rFonts w:ascii="Trebuchet MS" w:hAnsi="Trebuchet MS"/>
        </w:rPr>
      </w:pPr>
      <w:r w:rsidRPr="003565B6">
        <w:rPr>
          <w:rFonts w:ascii="Trebuchet MS" w:hAnsi="Trebuchet MS"/>
        </w:rPr>
        <w:t>3. El artículo 367 del Estatuto Tributario (ET) establece que la retención en la fuente tiene como objetivo lograr la recaudación gradual del impuesto dentro del mismo ejercicio gravable en que se genera el tributo4. En este contexto, los parágrafos 2 del artículo 3655, y 1 del artículo 3686 ibidem establecen dos mecanismos de autorretención, que constituyen una obligación tributaria material orientada a alcanzar esta finalidad de recaudación oportuna, pero con la particularidad de que el sujeto obligado a practicarla es la misma persona que percibe el ingreso, y no quien efectúa el pago o abono en cuenta7.</w:t>
      </w:r>
    </w:p>
    <w:p w:rsidR="00DB1DF7" w:rsidRPr="003565B6" w:rsidRDefault="00DB1DF7" w:rsidP="00DB1DF7">
      <w:pPr>
        <w:rPr>
          <w:rFonts w:ascii="Trebuchet MS" w:hAnsi="Trebuchet MS"/>
        </w:rPr>
      </w:pPr>
      <w:r w:rsidRPr="003565B6">
        <w:rPr>
          <w:rFonts w:ascii="Trebuchet MS" w:hAnsi="Trebuchet MS"/>
        </w:rPr>
        <w:t>4. Conforme el artículo 366 del ET, el recaudo anticipado del tributo se realiza sobre los «pagos o abonos en cuenta susceptibles de constituir ingreso tributario para el contribuyente del impuesto sobre la renta», exceptuando de esta retención aquellos pagos o abonos en cuenta que estén exentos según disposiciones especiales8. Asimismo, el artículo 373 del ET señala que la retención que sobre estos conceptos se haga podrá ser deducida por el contribuyente del total del impuesto de renta a cargo.</w:t>
      </w:r>
    </w:p>
    <w:p w:rsidR="00DB1DF7" w:rsidRPr="003565B6" w:rsidRDefault="00DB1DF7" w:rsidP="00DB1DF7">
      <w:pPr>
        <w:rPr>
          <w:rFonts w:ascii="Trebuchet MS" w:hAnsi="Trebuchet MS"/>
        </w:rPr>
      </w:pPr>
      <w:r w:rsidRPr="003565B6">
        <w:rPr>
          <w:rFonts w:ascii="Trebuchet MS" w:hAnsi="Trebuchet MS"/>
        </w:rPr>
        <w:t>5. En este contexto, una lectura sistemática9 de las normas mencionadas revela que el autorretenedor es, en efecto, contribuyente de la suma que se retiene. Por ende, responsable directo del pago del tributo. En palabras de la Corte Constitucional:</w:t>
      </w:r>
    </w:p>
    <w:p w:rsidR="00DB1DF7" w:rsidRPr="003565B6" w:rsidRDefault="00DB1DF7" w:rsidP="00DB1DF7">
      <w:pPr>
        <w:rPr>
          <w:rFonts w:ascii="Trebuchet MS" w:hAnsi="Trebuchet MS"/>
        </w:rPr>
      </w:pPr>
      <w:r w:rsidRPr="003565B6">
        <w:rPr>
          <w:rFonts w:ascii="Trebuchet MS" w:hAnsi="Trebuchet MS"/>
        </w:rPr>
        <w:t xml:space="preserve">«[...] </w:t>
      </w:r>
      <w:r w:rsidRPr="003565B6">
        <w:rPr>
          <w:rFonts w:ascii="Trebuchet MS" w:hAnsi="Trebuchet MS"/>
          <w:i/>
          <w:iCs/>
        </w:rPr>
        <w:t>el autorretenedor es un verdadero deudor fiscal, que en virtud de la ley cumple una doble función dentro de la obligación tributaria, a saber: de una parte, es contribuyente respecto de la ocurrencia del hecho generador; y de otra, es retenedor directo y personal de la cantidad que con arreglo a un porcentaje debe pagar a buena cuenta del tributo que afecta su transacción»</w:t>
      </w:r>
      <w:r w:rsidRPr="003565B6">
        <w:rPr>
          <w:rFonts w:ascii="Trebuchet MS" w:hAnsi="Trebuchet MS"/>
        </w:rPr>
        <w:t>10</w:t>
      </w:r>
    </w:p>
    <w:p w:rsidR="00DB1DF7" w:rsidRPr="003565B6" w:rsidRDefault="00DB1DF7" w:rsidP="00DB1DF7">
      <w:pPr>
        <w:rPr>
          <w:rFonts w:ascii="Trebuchet MS" w:hAnsi="Trebuchet MS"/>
        </w:rPr>
      </w:pPr>
      <w:r w:rsidRPr="003565B6">
        <w:rPr>
          <w:rFonts w:ascii="Trebuchet MS" w:hAnsi="Trebuchet MS"/>
        </w:rPr>
        <w:t>6. Por lo tanto, el autorretenedor, al recibir ingresos gravables, anticipa mediante su propia retención, una parte de su impuesto sobre la renta, que será deducida posteriormente del total del impuesto a cargo11. Esta conclusión es relevante, pues como lo ha explicado la doctrina vigente de esta entidad12, cuando el autorretenedor declara y paga su impuesto sobre la renta y complementarios, pero no sus autorretenciones, el pago del impuesto debe incluir el monto del impuesto correspondiente a las autorretenciones declaradas, pero no pagadas en el mismo año gravable13.</w:t>
      </w:r>
    </w:p>
    <w:p w:rsidR="00DB1DF7" w:rsidRPr="003565B6" w:rsidRDefault="00DB1DF7" w:rsidP="00DB1DF7">
      <w:pPr>
        <w:rPr>
          <w:rFonts w:ascii="Trebuchet MS" w:hAnsi="Trebuchet MS"/>
        </w:rPr>
      </w:pPr>
      <w:r w:rsidRPr="003565B6">
        <w:rPr>
          <w:rFonts w:ascii="Trebuchet MS" w:hAnsi="Trebuchet MS"/>
        </w:rPr>
        <w:t>7. Esto impide que la administración tributaria, una vez realizado el pago del impuesto sobre la renta y complementarios, exija un nuevo pago de las sumas declaradas y no pagadas en la autorretención, ya que ello equivaldría a un doble pago de la obligación sustancial14.</w:t>
      </w:r>
    </w:p>
    <w:p w:rsidR="00DB1DF7" w:rsidRPr="003565B6" w:rsidRDefault="00DB1DF7" w:rsidP="00DB1DF7">
      <w:pPr>
        <w:rPr>
          <w:rFonts w:ascii="Trebuchet MS" w:hAnsi="Trebuchet MS"/>
        </w:rPr>
      </w:pPr>
      <w:r w:rsidRPr="003565B6">
        <w:rPr>
          <w:rFonts w:ascii="Trebuchet MS" w:hAnsi="Trebuchet MS"/>
        </w:rPr>
        <w:t>8. No obstante, es importante aclarar que la relación jurídico-tributaria del contribuyente con el Estado es compleja15, compuesta por dos elementos esenciales: por una parte, de obligaciones tributarias sustanciales (pago del tributo) y, por otra parte, de deberes formales que buscan lograr el cumplimiento de la obligación sustancial16. Ambas obligaciones, aunque complementarias, son autónomas y diferenciables entre sí17. Así, el artículo 571 del ET señala que los contribuyentes o responsables directos del pago del tributo deberán cumplir con los deberes formales señalados en la ley o en el reglamento, so pena de que su incumplimiento derive en sanciones.</w:t>
      </w:r>
    </w:p>
    <w:p w:rsidR="00DB1DF7" w:rsidRPr="003565B6" w:rsidRDefault="00DB1DF7" w:rsidP="00DB1DF7">
      <w:pPr>
        <w:rPr>
          <w:rFonts w:ascii="Trebuchet MS" w:hAnsi="Trebuchet MS"/>
        </w:rPr>
      </w:pPr>
      <w:r w:rsidRPr="003565B6">
        <w:rPr>
          <w:rFonts w:ascii="Trebuchet MS" w:hAnsi="Trebuchet MS"/>
        </w:rPr>
        <w:t>9. En desarrollo de lo anterior, este despacho, en concepto No. 000909 - interno 65 del 6 de febrero de 2024, aclaró que cada declaración de retención en la fuente comprende una obligación tributaria independiente, que no se extingue por el cumplimiento de la obligación sustancial. Por ende, el pago del impuesto de renta no tiene la capacidad para «enervar las consecuencias jurídicas del incumplimiento del agente retenedor»18. De ahí que, el incumplimiento de las autorretenciones en la fuente cause intereses moratorios, los cuales: (i) no podrán extenderse más allá del momento en que fue satisfecha la obligación sustancial; (</w:t>
      </w:r>
      <w:proofErr w:type="spellStart"/>
      <w:r w:rsidRPr="003565B6">
        <w:rPr>
          <w:rFonts w:ascii="Trebuchet MS" w:hAnsi="Trebuchet MS"/>
        </w:rPr>
        <w:t>ii</w:t>
      </w:r>
      <w:proofErr w:type="spellEnd"/>
      <w:r w:rsidRPr="003565B6">
        <w:rPr>
          <w:rFonts w:ascii="Trebuchet MS" w:hAnsi="Trebuchet MS"/>
        </w:rPr>
        <w:t>) se calcularan desde la fecha en que se generó la mora; y (</w:t>
      </w:r>
      <w:proofErr w:type="spellStart"/>
      <w:r w:rsidRPr="003565B6">
        <w:rPr>
          <w:rFonts w:ascii="Trebuchet MS" w:hAnsi="Trebuchet MS"/>
        </w:rPr>
        <w:t>iii</w:t>
      </w:r>
      <w:proofErr w:type="spellEnd"/>
      <w:r w:rsidRPr="003565B6">
        <w:rPr>
          <w:rFonts w:ascii="Trebuchet MS" w:hAnsi="Trebuchet MS"/>
        </w:rPr>
        <w:t>) su liquidación se hará sobre el mayor valor liquidado en cada declaración de retención en la fuente.</w:t>
      </w:r>
    </w:p>
    <w:p w:rsidR="00DB1DF7" w:rsidRPr="003565B6" w:rsidRDefault="00DB1DF7" w:rsidP="00DB1DF7">
      <w:pPr>
        <w:rPr>
          <w:rFonts w:ascii="Trebuchet MS" w:hAnsi="Trebuchet MS"/>
        </w:rPr>
      </w:pPr>
      <w:r w:rsidRPr="003565B6">
        <w:rPr>
          <w:rFonts w:ascii="Trebuchet MS" w:hAnsi="Trebuchet MS"/>
        </w:rPr>
        <w:t>10. Al respecto, es pertinente precisar que, de conformidad con lo dispuesto en el artículo 634 del ET, los agentes de retención que no realicen oportunamente el pago de las retenciones a su cargo, incluidas las autorretenciones, están obligados a liquidar y pagar intereses moratorios por cada día calendario de mora en el pago.</w:t>
      </w:r>
    </w:p>
    <w:p w:rsidR="00DB1DF7" w:rsidRPr="003565B6" w:rsidRDefault="00DB1DF7" w:rsidP="00DB1DF7">
      <w:pPr>
        <w:rPr>
          <w:rFonts w:ascii="Trebuchet MS" w:hAnsi="Trebuchet MS"/>
        </w:rPr>
      </w:pPr>
      <w:r w:rsidRPr="003565B6">
        <w:rPr>
          <w:rFonts w:ascii="Trebuchet MS" w:hAnsi="Trebuchet MS"/>
        </w:rPr>
        <w:t>11. En consecuencia, aunque los valores declarados en la autorretención y no pagados no sean exigibles como capital debido al cumplimiento de la obligación sustancial mediante el pago del impuesto de renta, según se explicó, estos valores sí constituyen una expresión formal de la obligación de autorretención. Por ende, sirven como base para el cálculo de los intereses moratorios y las sanciones correspondientes.</w:t>
      </w:r>
    </w:p>
    <w:p w:rsidR="00DB1DF7" w:rsidRPr="003565B6" w:rsidRDefault="00DB1DF7" w:rsidP="00DB1DF7">
      <w:pPr>
        <w:rPr>
          <w:rFonts w:ascii="Trebuchet MS" w:hAnsi="Trebuchet MS"/>
        </w:rPr>
      </w:pPr>
      <w:r w:rsidRPr="003565B6">
        <w:rPr>
          <w:rFonts w:ascii="Trebuchet MS" w:hAnsi="Trebuchet MS"/>
        </w:rPr>
        <w:t>12. En conclusión, no es procedente el cobro coactivo de valores no pagados por autorretenciones si el autorretenedor ha cumplido con la declaración y el pago total del impuesto sobre la renta, ya que el pago incluye el monto no autorretenido. No obstante, esto no exime al autorretenedor de las consecuencias por el incumplimiento de su deber formal de declarar y pagar oportunamente las autorretenciones en la fuente. Por lo tanto, la autoridad tributaria puede exigir el pago de intereses moratorios, dado que la obligación de realizar las autorretenciones es independiente de la declaración del impuesto sobre la renta19.</w:t>
      </w:r>
    </w:p>
    <w:p w:rsidR="00DB1DF7" w:rsidRPr="003565B6" w:rsidRDefault="00DB1DF7" w:rsidP="00DB1DF7">
      <w:pPr>
        <w:rPr>
          <w:rFonts w:ascii="Trebuchet MS" w:hAnsi="Trebuchet MS"/>
        </w:rPr>
      </w:pPr>
      <w:r w:rsidRPr="003565B6">
        <w:rPr>
          <w:rFonts w:ascii="Trebuchet MS" w:hAnsi="Trebuchet MS"/>
        </w:rPr>
        <w:t>13. En los anteriores términos se absuelve su petición y se recuerda que la normativa, jurisprudencia y doctrina en materia tributaria, aduanera y de fiscalización cambiaria, en lo de competencia de esta Entidad, puede consultarse en el normograma DIAN: https://normograma.dian.gov.co/dian/.</w:t>
      </w:r>
    </w:p>
    <w:p w:rsidR="00DB1DF7" w:rsidRPr="003565B6" w:rsidRDefault="00DB1DF7" w:rsidP="00DB1DF7">
      <w:pPr>
        <w:rPr>
          <w:rFonts w:ascii="Trebuchet MS" w:hAnsi="Trebuchet MS"/>
        </w:rPr>
      </w:pPr>
    </w:p>
    <w:p w:rsidR="00DB1DF7" w:rsidRPr="003565B6" w:rsidRDefault="00DB1DF7" w:rsidP="00DB1DF7">
      <w:pPr>
        <w:rPr>
          <w:rFonts w:ascii="Trebuchet MS" w:hAnsi="Trebuchet MS"/>
        </w:rPr>
      </w:pPr>
      <w:r w:rsidRPr="003565B6">
        <w:rPr>
          <w:rFonts w:ascii="Trebuchet MS" w:hAnsi="Trebuchet MS"/>
        </w:rPr>
        <w:t>Atentamente,</w:t>
      </w:r>
    </w:p>
    <w:p w:rsidR="00DB1DF7" w:rsidRPr="003565B6" w:rsidRDefault="00DB1DF7" w:rsidP="00DB1DF7">
      <w:pPr>
        <w:rPr>
          <w:rFonts w:ascii="Trebuchet MS" w:hAnsi="Trebuchet MS"/>
        </w:rPr>
      </w:pPr>
    </w:p>
    <w:p w:rsidR="00DB1DF7" w:rsidRPr="003565B6" w:rsidRDefault="00DB1DF7" w:rsidP="00DB1DF7">
      <w:pPr>
        <w:spacing w:after="0"/>
        <w:rPr>
          <w:rFonts w:ascii="Trebuchet MS" w:hAnsi="Trebuchet MS"/>
        </w:rPr>
      </w:pPr>
      <w:r w:rsidRPr="003565B6">
        <w:rPr>
          <w:rFonts w:ascii="Trebuchet MS" w:hAnsi="Trebuchet MS"/>
        </w:rPr>
        <w:t>INGRID CASTAÑEDA CEPEDA</w:t>
      </w:r>
    </w:p>
    <w:p w:rsidR="00DB1DF7" w:rsidRPr="003565B6" w:rsidRDefault="00DB1DF7" w:rsidP="00DB1DF7">
      <w:pPr>
        <w:spacing w:after="0"/>
        <w:rPr>
          <w:rFonts w:ascii="Trebuchet MS" w:hAnsi="Trebuchet MS"/>
        </w:rPr>
      </w:pPr>
      <w:r w:rsidRPr="003565B6">
        <w:rPr>
          <w:rFonts w:ascii="Trebuchet MS" w:hAnsi="Trebuchet MS"/>
        </w:rPr>
        <w:t>Subdirectora de Normativa y Doctrina (A)</w:t>
      </w:r>
    </w:p>
    <w:p w:rsidR="00DB1DF7" w:rsidRPr="003565B6" w:rsidRDefault="00DB1DF7" w:rsidP="00DB1DF7">
      <w:pPr>
        <w:spacing w:after="0"/>
        <w:rPr>
          <w:rFonts w:ascii="Trebuchet MS" w:hAnsi="Trebuchet MS"/>
        </w:rPr>
      </w:pPr>
      <w:r w:rsidRPr="003565B6">
        <w:rPr>
          <w:rFonts w:ascii="Trebuchet MS" w:hAnsi="Trebuchet MS"/>
        </w:rPr>
        <w:t>Dirección de Gestión Jurídica</w:t>
      </w:r>
    </w:p>
    <w:p w:rsidR="00DB1DF7" w:rsidRPr="003565B6" w:rsidRDefault="00DB1DF7" w:rsidP="00DB1DF7">
      <w:pPr>
        <w:spacing w:after="0"/>
        <w:rPr>
          <w:rFonts w:ascii="Trebuchet MS" w:hAnsi="Trebuchet MS"/>
        </w:rPr>
      </w:pPr>
      <w:r w:rsidRPr="003565B6">
        <w:rPr>
          <w:rFonts w:ascii="Trebuchet MS" w:hAnsi="Trebuchet MS"/>
        </w:rPr>
        <w:t>U.A.E. Dirección de Impuestos y Aduanas Nacionales – DIAN</w:t>
      </w:r>
    </w:p>
    <w:p w:rsidR="00DB1DF7" w:rsidRPr="003565B6" w:rsidRDefault="00DB1DF7" w:rsidP="00DB1DF7">
      <w:pPr>
        <w:rPr>
          <w:rFonts w:ascii="Trebuchet MS" w:hAnsi="Trebuchet MS"/>
        </w:rPr>
      </w:pPr>
    </w:p>
    <w:p w:rsidR="00A42653" w:rsidRPr="003565B6" w:rsidRDefault="00A42653" w:rsidP="00DB1DF7">
      <w:pPr>
        <w:rPr>
          <w:rFonts w:ascii="Trebuchet MS" w:hAnsi="Trebuchet MS"/>
        </w:rPr>
      </w:pPr>
    </w:p>
    <w:sectPr w:rsidR="00A42653" w:rsidRPr="003565B6">
      <w:footerReference w:type="even" r:id="rId6"/>
      <w:footerReference w:type="default" r:id="rId7"/>
      <w:foot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257B" w:rsidRDefault="003A257B" w:rsidP="00DB1DF7">
      <w:pPr>
        <w:spacing w:after="0" w:line="240" w:lineRule="auto"/>
      </w:pPr>
      <w:r>
        <w:separator/>
      </w:r>
    </w:p>
  </w:endnote>
  <w:endnote w:type="continuationSeparator" w:id="0">
    <w:p w:rsidR="003A257B" w:rsidRDefault="003A257B" w:rsidP="00DB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1DF7" w:rsidRDefault="0068453F">
    <w:pPr>
      <w:pStyle w:val="Piedepgina"/>
    </w:pPr>
    <w:r>
      <w:rPr>
        <w:noProof/>
      </w:rPr>
      <mc:AlternateContent>
        <mc:Choice Requires="wps">
          <w:drawing>
            <wp:anchor distT="0" distB="0" distL="0" distR="0" simplePos="0" relativeHeight="251659264" behindDoc="0" locked="0" layoutInCell="1" allowOverlap="1" wp14:anchorId="0C619F4B" wp14:editId="0071830F">
              <wp:simplePos x="635" y="635"/>
              <wp:positionH relativeFrom="page">
                <wp:align>center</wp:align>
              </wp:positionH>
              <wp:positionV relativeFrom="page">
                <wp:align>bottom</wp:align>
              </wp:positionV>
              <wp:extent cx="810895" cy="324485"/>
              <wp:effectExtent l="0" t="0" r="8255" b="0"/>
              <wp:wrapNone/>
              <wp:docPr id="972233510" name="Text Box 5"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68453F" w:rsidRPr="0068453F" w:rsidRDefault="0068453F" w:rsidP="0068453F">
                          <w:pPr>
                            <w:spacing w:after="0"/>
                            <w:rPr>
                              <w:rFonts w:ascii="Calibri" w:eastAsia="Calibri" w:hAnsi="Calibri" w:cs="Calibri"/>
                              <w:noProof/>
                              <w:color w:val="000000"/>
                              <w:sz w:val="16"/>
                              <w:szCs w:val="16"/>
                            </w:rPr>
                          </w:pPr>
                          <w:r w:rsidRPr="0068453F">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619F4B" id="_x0000_t202" coordsize="21600,21600" o:spt="202" path="m,l,21600r21600,l21600,xe">
              <v:stroke joinstyle="miter"/>
              <v:path gradientshapeok="t" o:connecttype="rect"/>
            </v:shapetype>
            <v:shape id="Text Box 5" o:spid="_x0000_s1026" type="#_x0000_t202" alt="Documento Público" style="position:absolute;margin-left:0;margin-top:0;width:63.8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" filled="f" stroked="f">
              <v:textbox style="mso-fit-shape-to-text:t" inset="0,0,0,15pt">
                <w:txbxContent>
                  <w:p w:rsidR="0068453F" w:rsidRPr="0068453F" w:rsidRDefault="0068453F" w:rsidP="0068453F">
                    <w:pPr>
                      <w:spacing w:after="0"/>
                      <w:rPr>
                        <w:rFonts w:ascii="Calibri" w:eastAsia="Calibri" w:hAnsi="Calibri" w:cs="Calibri"/>
                        <w:noProof/>
                        <w:color w:val="000000"/>
                        <w:sz w:val="16"/>
                        <w:szCs w:val="16"/>
                      </w:rPr>
                    </w:pPr>
                    <w:r w:rsidRPr="0068453F">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1DF7" w:rsidRDefault="0068453F">
    <w:pPr>
      <w:pStyle w:val="Piedepgina"/>
    </w:pPr>
    <w:r>
      <w:rPr>
        <w:noProof/>
      </w:rPr>
      <mc:AlternateContent>
        <mc:Choice Requires="wps">
          <w:drawing>
            <wp:anchor distT="0" distB="0" distL="0" distR="0" simplePos="0" relativeHeight="251660288" behindDoc="0" locked="0" layoutInCell="1" allowOverlap="1" wp14:anchorId="05FECE85" wp14:editId="15BF4A17">
              <wp:simplePos x="1079500" y="9436100"/>
              <wp:positionH relativeFrom="page">
                <wp:align>center</wp:align>
              </wp:positionH>
              <wp:positionV relativeFrom="page">
                <wp:align>bottom</wp:align>
              </wp:positionV>
              <wp:extent cx="810895" cy="324485"/>
              <wp:effectExtent l="0" t="0" r="8255" b="0"/>
              <wp:wrapNone/>
              <wp:docPr id="388591439" name="Text Box 6"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68453F" w:rsidRPr="0068453F" w:rsidRDefault="0068453F" w:rsidP="0068453F">
                          <w:pPr>
                            <w:spacing w:after="0"/>
                            <w:rPr>
                              <w:rFonts w:ascii="Calibri" w:eastAsia="Calibri" w:hAnsi="Calibri" w:cs="Calibri"/>
                              <w:noProof/>
                              <w:color w:val="000000"/>
                              <w:sz w:val="16"/>
                              <w:szCs w:val="16"/>
                            </w:rPr>
                          </w:pPr>
                          <w:r w:rsidRPr="0068453F">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FECE85" id="_x0000_t202" coordsize="21600,21600" o:spt="202" path="m,l,21600r21600,l21600,xe">
              <v:stroke joinstyle="miter"/>
              <v:path gradientshapeok="t" o:connecttype="rect"/>
            </v:shapetype>
            <v:shape id="Text Box 6" o:spid="_x0000_s1027" type="#_x0000_t202" alt="Documento Público" style="position:absolute;margin-left:0;margin-top:0;width:63.8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GoDQ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" filled="f" stroked="f">
              <v:textbox style="mso-fit-shape-to-text:t" inset="0,0,0,15pt">
                <w:txbxContent>
                  <w:p w:rsidR="0068453F" w:rsidRPr="0068453F" w:rsidRDefault="0068453F" w:rsidP="0068453F">
                    <w:pPr>
                      <w:spacing w:after="0"/>
                      <w:rPr>
                        <w:rFonts w:ascii="Calibri" w:eastAsia="Calibri" w:hAnsi="Calibri" w:cs="Calibri"/>
                        <w:noProof/>
                        <w:color w:val="000000"/>
                        <w:sz w:val="16"/>
                        <w:szCs w:val="16"/>
                      </w:rPr>
                    </w:pPr>
                    <w:r w:rsidRPr="0068453F">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1DF7" w:rsidRDefault="0068453F">
    <w:pPr>
      <w:pStyle w:val="Piedepgina"/>
    </w:pPr>
    <w:r>
      <w:rPr>
        <w:noProof/>
      </w:rPr>
      <mc:AlternateContent>
        <mc:Choice Requires="wps">
          <w:drawing>
            <wp:anchor distT="0" distB="0" distL="0" distR="0" simplePos="0" relativeHeight="251658240" behindDoc="0" locked="0" layoutInCell="1" allowOverlap="1" wp14:anchorId="2766D958" wp14:editId="49B83AB8">
              <wp:simplePos x="635" y="635"/>
              <wp:positionH relativeFrom="page">
                <wp:align>center</wp:align>
              </wp:positionH>
              <wp:positionV relativeFrom="page">
                <wp:align>bottom</wp:align>
              </wp:positionV>
              <wp:extent cx="810895" cy="324485"/>
              <wp:effectExtent l="0" t="0" r="8255" b="0"/>
              <wp:wrapNone/>
              <wp:docPr id="945769945" name="Text Box 4"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68453F" w:rsidRPr="0068453F" w:rsidRDefault="0068453F" w:rsidP="0068453F">
                          <w:pPr>
                            <w:spacing w:after="0"/>
                            <w:rPr>
                              <w:rFonts w:ascii="Calibri" w:eastAsia="Calibri" w:hAnsi="Calibri" w:cs="Calibri"/>
                              <w:noProof/>
                              <w:color w:val="000000"/>
                              <w:sz w:val="16"/>
                              <w:szCs w:val="16"/>
                            </w:rPr>
                          </w:pPr>
                          <w:r w:rsidRPr="0068453F">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6D958" id="_x0000_t202" coordsize="21600,21600" o:spt="202" path="m,l,21600r21600,l21600,xe">
              <v:stroke joinstyle="miter"/>
              <v:path gradientshapeok="t" o:connecttype="rect"/>
            </v:shapetype>
            <v:shape id="Text Box 4" o:spid="_x0000_s1028" type="#_x0000_t202" alt="Documento Público" style="position:absolute;margin-left:0;margin-top:0;width:63.8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buDw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" filled="f" stroked="f">
              <v:textbox style="mso-fit-shape-to-text:t" inset="0,0,0,15pt">
                <w:txbxContent>
                  <w:p w:rsidR="0068453F" w:rsidRPr="0068453F" w:rsidRDefault="0068453F" w:rsidP="0068453F">
                    <w:pPr>
                      <w:spacing w:after="0"/>
                      <w:rPr>
                        <w:rFonts w:ascii="Calibri" w:eastAsia="Calibri" w:hAnsi="Calibri" w:cs="Calibri"/>
                        <w:noProof/>
                        <w:color w:val="000000"/>
                        <w:sz w:val="16"/>
                        <w:szCs w:val="16"/>
                      </w:rPr>
                    </w:pPr>
                    <w:r w:rsidRPr="0068453F">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257B" w:rsidRDefault="003A257B" w:rsidP="00DB1DF7">
      <w:pPr>
        <w:spacing w:after="0" w:line="240" w:lineRule="auto"/>
      </w:pPr>
      <w:r>
        <w:separator/>
      </w:r>
    </w:p>
  </w:footnote>
  <w:footnote w:type="continuationSeparator" w:id="0">
    <w:p w:rsidR="003A257B" w:rsidRDefault="003A257B" w:rsidP="00DB1D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F7"/>
    <w:rsid w:val="003565B6"/>
    <w:rsid w:val="003A257B"/>
    <w:rsid w:val="00420D3A"/>
    <w:rsid w:val="00520758"/>
    <w:rsid w:val="00614CDA"/>
    <w:rsid w:val="0068453F"/>
    <w:rsid w:val="009203AA"/>
    <w:rsid w:val="009D265A"/>
    <w:rsid w:val="00A42653"/>
    <w:rsid w:val="00D1477F"/>
    <w:rsid w:val="00D67661"/>
    <w:rsid w:val="00DB1D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31A13"/>
  <w15:chartTrackingRefBased/>
  <w15:docId w15:val="{66729A47-A0B3-430D-955A-69A16824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B1DF7"/>
    <w:rPr>
      <w:color w:val="0563C1" w:themeColor="hyperlink"/>
      <w:u w:val="single"/>
    </w:rPr>
  </w:style>
  <w:style w:type="character" w:styleId="Mencinsinresolver">
    <w:name w:val="Unresolved Mention"/>
    <w:basedOn w:val="Fuentedeprrafopredeter"/>
    <w:uiPriority w:val="99"/>
    <w:semiHidden/>
    <w:unhideWhenUsed/>
    <w:rsid w:val="00DB1DF7"/>
    <w:rPr>
      <w:color w:val="605E5C"/>
      <w:shd w:val="clear" w:color="auto" w:fill="E1DFDD"/>
    </w:rPr>
  </w:style>
  <w:style w:type="paragraph" w:styleId="Piedepgina">
    <w:name w:val="footer"/>
    <w:basedOn w:val="Normal"/>
    <w:link w:val="PiedepginaCar"/>
    <w:uiPriority w:val="99"/>
    <w:unhideWhenUsed/>
    <w:rsid w:val="00DB1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63165">
      <w:bodyDiv w:val="1"/>
      <w:marLeft w:val="0"/>
      <w:marRight w:val="0"/>
      <w:marTop w:val="0"/>
      <w:marBottom w:val="0"/>
      <w:divBdr>
        <w:top w:val="none" w:sz="0" w:space="0" w:color="auto"/>
        <w:left w:val="none" w:sz="0" w:space="0" w:color="auto"/>
        <w:bottom w:val="none" w:sz="0" w:space="0" w:color="auto"/>
        <w:right w:val="none" w:sz="0" w:space="0" w:color="auto"/>
      </w:divBdr>
    </w:div>
    <w:div w:id="186505605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f088d4-1c62-43b9-9bfe-4931971eafed}" enabled="1" method="Privileged" siteId="{c254eece-964c-40d3-81bd-d74656c087fd}" contentBits="2" removed="0"/>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1156</Words>
  <Characters>6363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2025-01-23T19:18:00Z</dcterms:created>
  <dcterms:modified xsi:type="dcterms:W3CDTF">2025-01-23T19:18:00Z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385f4dd9,39f31b26,17296f4f</vt:lpwstr>
  </property>
  <property fmtid="{D5CDD505-2E9C-101B-9397-08002B2CF9AE}" pid="3" name="ClassificationContentMarkingFooterFontProps">
    <vt:lpwstr>#000000,8,Calibri</vt:lpwstr>
  </property>
  <property fmtid="{D5CDD505-2E9C-101B-9397-08002B2CF9AE}" pid="4" name="ClassificationContentMarkingFooterText">
    <vt:lpwstr>Documento Público</vt:lpwstr>
  </property>
  <property fmtid="{D5CDD505-2E9C-101B-9397-08002B2CF9AE}" pid="5" name="GrammarlyDocumentId">
    <vt:lpwstr>0535ce1ef251fea784fbee07b4e975cc06c33bd22eea76a38e1f15c1d34b4406</vt:lpwstr>
  </property>
  <property fmtid="{D5CDD505-2E9C-101B-9397-08002B2CF9AE}" pid="6" name="MSIP_Label_0ff088d4-1c62-43b9-9bfe-4931971eafed_Enabled">
    <vt:lpwstr>true</vt:lpwstr>
  </property>
  <property fmtid="{D5CDD505-2E9C-101B-9397-08002B2CF9AE}" pid="7" name="MSIP_Label_0ff088d4-1c62-43b9-9bfe-4931971eafed_SetDate">
    <vt:lpwstr>2025-01-17T22:28:51Z</vt:lpwstr>
  </property>
  <property fmtid="{D5CDD505-2E9C-101B-9397-08002B2CF9AE}" pid="8" name="MSIP_Label_0ff088d4-1c62-43b9-9bfe-4931971eafed_Method">
    <vt:lpwstr>Standard</vt:lpwstr>
  </property>
  <property fmtid="{D5CDD505-2E9C-101B-9397-08002B2CF9AE}" pid="9" name="MSIP_Label_0ff088d4-1c62-43b9-9bfe-4931971eafed_Name">
    <vt:lpwstr>0ff088d4-1c62-43b9-9bfe-4931971eafed</vt:lpwstr>
  </property>
  <property fmtid="{D5CDD505-2E9C-101B-9397-08002B2CF9AE}" pid="10" name="MSIP_Label_0ff088d4-1c62-43b9-9bfe-4931971eafed_SiteId">
    <vt:lpwstr>c254eece-964c-40d3-81bd-d74656c087fd</vt:lpwstr>
  </property>
  <property fmtid="{D5CDD505-2E9C-101B-9397-08002B2CF9AE}" pid="11" name="MSIP_Label_0ff088d4-1c62-43b9-9bfe-4931971eafed_ActionId">
    <vt:lpwstr>2cb4dada-0017-416b-a437-11d3903dd36b</vt:lpwstr>
  </property>
  <property fmtid="{D5CDD505-2E9C-101B-9397-08002B2CF9AE}" pid="12" name="MSIP_Label_0ff088d4-1c62-43b9-9bfe-4931971eafed_ContentBits">
    <vt:lpwstr>0</vt:lpwstr>
  </property>
</Properties>
</file>