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3E2" w:rsidRPr="00EB03E2" w:rsidRDefault="00EB03E2" w:rsidP="00EB03E2">
      <w:pPr>
        <w:rPr>
          <w:color w:val="303030" w:themeColor="background1" w:themeShade="80"/>
          <w:lang w:val="es-CO"/>
        </w:rPr>
      </w:pPr>
      <w:r w:rsidRPr="00EB03E2">
        <w:rPr>
          <w:b/>
          <w:bCs/>
          <w:color w:val="303030" w:themeColor="background1" w:themeShade="80"/>
          <w:lang w:val="es-CO"/>
        </w:rPr>
        <w:t>Concepto 200 [001763]</w:t>
      </w:r>
    </w:p>
    <w:p w:rsidR="00EB03E2" w:rsidRPr="00EB03E2" w:rsidRDefault="00EB03E2" w:rsidP="00EB03E2">
      <w:pPr>
        <w:rPr>
          <w:color w:val="303030" w:themeColor="background1" w:themeShade="80"/>
          <w:lang w:val="es-CO"/>
        </w:rPr>
      </w:pPr>
      <w:r w:rsidRPr="00EB03E2">
        <w:rPr>
          <w:b/>
          <w:bCs/>
          <w:color w:val="303030" w:themeColor="background1" w:themeShade="80"/>
          <w:lang w:val="es-CO"/>
        </w:rPr>
        <w:t>12-02-2026</w:t>
      </w:r>
    </w:p>
    <w:p w:rsidR="00EB03E2" w:rsidRPr="00EB03E2" w:rsidRDefault="00EB03E2" w:rsidP="00EB03E2">
      <w:pPr>
        <w:rPr>
          <w:color w:val="303030" w:themeColor="background1" w:themeShade="80"/>
          <w:lang w:val="es-CO"/>
        </w:rPr>
      </w:pPr>
      <w:r w:rsidRPr="00EB03E2">
        <w:rPr>
          <w:b/>
          <w:bCs/>
          <w:color w:val="303030" w:themeColor="background1" w:themeShade="80"/>
          <w:lang w:val="es-CO"/>
        </w:rPr>
        <w:t>DIAN</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100208192 - 200</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Bogotá D.C., 12 de febrero de 2026.</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1. Esta Subdirección está facultada para absolver las consultas escritas de carácter general, sobre la interpretación y aplicación de las normas tributarias, aduaneras y de fiscalización cambiaria, en lo de competencia de la DIAN</w:t>
      </w:r>
      <w:hyperlink r:id="rId9" w:anchor="cite_note-1" w:history="1">
        <w:r w:rsidRPr="00EB03E2">
          <w:rPr>
            <w:rStyle w:val="Hipervnculo"/>
            <w:color w:val="303030" w:themeColor="background1" w:themeShade="80"/>
            <w:u w:val="none"/>
            <w:vertAlign w:val="superscript"/>
            <w:lang w:val="es-CO"/>
          </w:rPr>
          <w:t>1</w:t>
        </w:r>
      </w:hyperlink>
      <w:r w:rsidRPr="00EB03E2">
        <w:rPr>
          <w:color w:val="303030" w:themeColor="background1" w:themeShade="80"/>
          <w:lang w:val="es-CO"/>
        </w:rPr>
        <w:t>. En este sentido, la doctrina emitida tendrá un alcance general y abstracto, sin referirse a situaciones de carácter particular o concreto y se someterá a lo consagrado en el artículo 131 de la Ley 2010 de 2019</w:t>
      </w:r>
      <w:hyperlink r:id="rId10" w:anchor="cite_note-2" w:history="1">
        <w:r w:rsidRPr="00EB03E2">
          <w:rPr>
            <w:rStyle w:val="Hipervnculo"/>
            <w:color w:val="303030" w:themeColor="background1" w:themeShade="80"/>
            <w:u w:val="none"/>
            <w:vertAlign w:val="superscript"/>
            <w:lang w:val="es-CO"/>
          </w:rPr>
          <w:t>2</w:t>
        </w:r>
      </w:hyperlink>
      <w:r w:rsidRPr="00EB03E2">
        <w:rPr>
          <w:color w:val="303030" w:themeColor="background1" w:themeShade="80"/>
          <w:lang w:val="es-CO"/>
        </w:rPr>
        <w:t>.</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2. Mediante el radicado de la referencia, se solicita informar si la Dirección de Impuestos y Aduanas Nacionales (DIAN) se encuentra facultada para ordenar el embargo de cuentas de ahorro que gozan del beneficio legal de inembargabilidad.</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 Sobre el particular, este Despacho precisa:</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3.1. El embargo es una medida cautelar mediante la cual una autoridad judicial o administrativa ordena la inmovilización de bienes o recursos económicos del deudor, con el fin de asegurar el cumplimiento de una obligación</w:t>
      </w:r>
      <w:hyperlink r:id="rId11" w:anchor="cite_note-3" w:history="1">
        <w:r w:rsidRPr="00EB03E2">
          <w:rPr>
            <w:rStyle w:val="Hipervnculo"/>
            <w:color w:val="303030" w:themeColor="background1" w:themeShade="80"/>
            <w:u w:val="none"/>
            <w:vertAlign w:val="superscript"/>
            <w:lang w:val="es-CO"/>
          </w:rPr>
          <w:t>3</w:t>
        </w:r>
      </w:hyperlink>
      <w:r w:rsidRPr="00EB03E2">
        <w:rPr>
          <w:color w:val="303030" w:themeColor="background1" w:themeShade="80"/>
          <w:lang w:val="es-CO"/>
        </w:rPr>
        <w:t>.</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3.2. En materia tributaria, el </w:t>
      </w:r>
      <w:hyperlink r:id="rId12" w:tooltip="Estatuto Tributario CETA" w:history="1">
        <w:r w:rsidRPr="00EB03E2">
          <w:rPr>
            <w:rStyle w:val="Hipervnculo"/>
            <w:color w:val="303030" w:themeColor="background1" w:themeShade="80"/>
            <w:u w:val="none"/>
            <w:lang w:val="es-CO"/>
          </w:rPr>
          <w:t>artículo 837</w:t>
        </w:r>
      </w:hyperlink>
      <w:r w:rsidRPr="00EB03E2">
        <w:rPr>
          <w:color w:val="303030" w:themeColor="background1" w:themeShade="80"/>
          <w:lang w:val="es-CO"/>
        </w:rPr>
        <w:t> del Estatuto Tributario (E.T.) dispone que el funcionario competente podrá decretar, de manera previa o simultánea a la expedición del mandamiento de pago, el embargo y secuestro preventivo de los bienes del deudor que se encuentren acreditados como de su propiedad, dentro de los cuales se incluyen las cuentas de ahorro.</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3.3. No obstante, por regla general, las cuentas de ahorro no son embargables</w:t>
      </w:r>
      <w:hyperlink r:id="rId13" w:anchor="cite_note-4" w:history="1">
        <w:r w:rsidRPr="00EB03E2">
          <w:rPr>
            <w:rStyle w:val="Hipervnculo"/>
            <w:color w:val="303030" w:themeColor="background1" w:themeShade="80"/>
            <w:u w:val="none"/>
            <w:vertAlign w:val="superscript"/>
            <w:lang w:val="es-CO"/>
          </w:rPr>
          <w:t>4</w:t>
        </w:r>
      </w:hyperlink>
      <w:r w:rsidRPr="00EB03E2">
        <w:rPr>
          <w:color w:val="303030" w:themeColor="background1" w:themeShade="80"/>
          <w:lang w:val="es-CO"/>
        </w:rPr>
        <w:t> hasta el monto que se determine conforme a lo dispuesto en el artículo 29 del Decreto 2349 de 1965, monto que en los términos del artículo 2 del Decreto 564 de 1996</w:t>
      </w:r>
      <w:hyperlink r:id="rId14" w:anchor="cite_note-5" w:history="1">
        <w:r w:rsidRPr="00EB03E2">
          <w:rPr>
            <w:rStyle w:val="Hipervnculo"/>
            <w:color w:val="303030" w:themeColor="background1" w:themeShade="80"/>
            <w:u w:val="none"/>
            <w:vertAlign w:val="superscript"/>
            <w:lang w:val="es-CO"/>
          </w:rPr>
          <w:t>5</w:t>
        </w:r>
      </w:hyperlink>
      <w:r w:rsidRPr="00EB03E2">
        <w:rPr>
          <w:color w:val="303030" w:themeColor="background1" w:themeShade="80"/>
          <w:lang w:val="es-CO"/>
        </w:rPr>
        <w:t>, se reajusta anualmente por la Superintendencia Financiera de Colombia</w:t>
      </w:r>
      <w:hyperlink r:id="rId15" w:anchor="cite_note-6" w:history="1">
        <w:r w:rsidRPr="00EB03E2">
          <w:rPr>
            <w:rStyle w:val="Hipervnculo"/>
            <w:color w:val="303030" w:themeColor="background1" w:themeShade="80"/>
            <w:u w:val="none"/>
            <w:vertAlign w:val="superscript"/>
            <w:lang w:val="es-CO"/>
          </w:rPr>
          <w:t>6</w:t>
        </w:r>
      </w:hyperlink>
      <w:r w:rsidRPr="00EB03E2">
        <w:rPr>
          <w:color w:val="303030" w:themeColor="background1" w:themeShade="80"/>
          <w:lang w:val="es-CO"/>
        </w:rPr>
        <w:t> y </w:t>
      </w:r>
      <w:hyperlink r:id="rId16" w:anchor="cite_note-7" w:history="1">
        <w:r w:rsidRPr="00EB03E2">
          <w:rPr>
            <w:rStyle w:val="Hipervnculo"/>
            <w:color w:val="303030" w:themeColor="background1" w:themeShade="80"/>
            <w:u w:val="none"/>
            <w:vertAlign w:val="superscript"/>
            <w:lang w:val="es-CO"/>
          </w:rPr>
          <w:t>7</w:t>
        </w:r>
      </w:hyperlink>
      <w:r w:rsidRPr="00EB03E2">
        <w:rPr>
          <w:color w:val="303030" w:themeColor="background1" w:themeShade="80"/>
          <w:lang w:val="es-CO"/>
        </w:rPr>
        <w:t>.</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3.4. Sin perjuicio de lo anterior, en materia tributaria el </w:t>
      </w:r>
      <w:hyperlink r:id="rId17" w:tooltip="Estatuto Tributario CETA" w:history="1">
        <w:r w:rsidRPr="00EB03E2">
          <w:rPr>
            <w:rStyle w:val="Hipervnculo"/>
            <w:color w:val="303030" w:themeColor="background1" w:themeShade="80"/>
            <w:u w:val="none"/>
            <w:lang w:val="es-CO"/>
          </w:rPr>
          <w:t>artículo 837-1</w:t>
        </w:r>
      </w:hyperlink>
      <w:r w:rsidRPr="00EB03E2">
        <w:rPr>
          <w:color w:val="303030" w:themeColor="background1" w:themeShade="80"/>
          <w:lang w:val="es-CO"/>
        </w:rPr>
        <w:t> del E.T., consagra una excepción a la regla general de inembargabilidad, al disponer que, en los procesos de cobro coactivo adelantados contra personas naturales, el embargo de cuentas de ahorro se encuentra sujeto a un límite especial equivalente a veinticinco (25) salarios mínimos legales mensuales vigentes, reexpresados en 510 Unidades de Valor Tributario (UVT), conforme al artículo 1.6.2.8.2 del Decreto 1625 de 2016. Dicho límite recaerá sobre la cuenta de ahorros más antigua del contribuyente y no resulta aplicable a las personas jurídicas.</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3.5. En armonía con lo anterior, el Oficio No. 005671 de 2025 se señaló que existe el procedimiento PR-COT-0327 para decretar medidas cautelares, publicado en el Listado Maestro de Documentos del Sistema de Gestión de la DIAN, en el cual se establece como condición general</w:t>
      </w:r>
      <w:r w:rsidRPr="00EB03E2">
        <w:rPr>
          <w:i/>
          <w:iCs/>
          <w:color w:val="303030" w:themeColor="background1" w:themeShade="80"/>
          <w:lang w:val="es-CO"/>
        </w:rPr>
        <w:t>: «[...] respecto de los bienes inembargables, señalados en la Constitución Política y en leyes especiales, los funcionarios competentes se abstendrán de decretar las medidas cautelares</w:t>
      </w:r>
      <w:r w:rsidRPr="00EB03E2">
        <w:rPr>
          <w:color w:val="303030" w:themeColor="background1" w:themeShade="80"/>
          <w:lang w:val="es-CO"/>
        </w:rPr>
        <w:t>» (énfasis propio).</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3.6. En igual sentido, el Concepto No. 13442 de 2008 precisó: «</w:t>
      </w:r>
      <w:r w:rsidRPr="00EB03E2">
        <w:rPr>
          <w:i/>
          <w:iCs/>
          <w:color w:val="303030" w:themeColor="background1" w:themeShade="80"/>
          <w:lang w:val="es-CO"/>
        </w:rPr>
        <w:t>cuando se ordene el embargo sobre los depósitos en cuentas de ahorro, el embargo recaerá sobre los saldos </w:t>
      </w:r>
      <w:r w:rsidRPr="00EB03E2">
        <w:rPr>
          <w:b/>
          <w:bCs/>
          <w:i/>
          <w:iCs/>
          <w:color w:val="303030" w:themeColor="background1" w:themeShade="80"/>
          <w:lang w:val="es-CO"/>
        </w:rPr>
        <w:t>que excedan </w:t>
      </w:r>
      <w:r w:rsidRPr="00EB03E2">
        <w:rPr>
          <w:i/>
          <w:iCs/>
          <w:color w:val="303030" w:themeColor="background1" w:themeShade="80"/>
          <w:lang w:val="es-CO"/>
        </w:rPr>
        <w:t>la cuantía fijada en la norma legal como inembargable de la cuenta de ahorro más antigua del contribuyente persona natural</w:t>
      </w:r>
      <w:r w:rsidRPr="00EB03E2">
        <w:rPr>
          <w:color w:val="303030" w:themeColor="background1" w:themeShade="80"/>
          <w:lang w:val="es-CO"/>
        </w:rPr>
        <w:t>»</w:t>
      </w:r>
      <w:hyperlink r:id="rId18" w:anchor="cite_note-8" w:history="1">
        <w:r w:rsidRPr="00EB03E2">
          <w:rPr>
            <w:rStyle w:val="Hipervnculo"/>
            <w:color w:val="303030" w:themeColor="background1" w:themeShade="80"/>
            <w:u w:val="none"/>
            <w:vertAlign w:val="superscript"/>
            <w:lang w:val="es-CO"/>
          </w:rPr>
          <w:t>8</w:t>
        </w:r>
      </w:hyperlink>
      <w:r w:rsidRPr="00EB03E2">
        <w:rPr>
          <w:color w:val="303030" w:themeColor="background1" w:themeShade="80"/>
          <w:lang w:val="es-CO"/>
        </w:rPr>
        <w:t>. (Resaltado y subrayado fuera del texto)</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3.7. De esta manera, una vez decretado el embargo, las entidades financieras deberán proceder conforme a lo dispuesto en el numeral 2 del </w:t>
      </w:r>
      <w:hyperlink r:id="rId19" w:tooltip="Estatuto Tributario CETA" w:history="1">
        <w:r w:rsidRPr="00EB03E2">
          <w:rPr>
            <w:rStyle w:val="Hipervnculo"/>
            <w:color w:val="303030" w:themeColor="background1" w:themeShade="80"/>
            <w:u w:val="none"/>
            <w:lang w:val="es-CO"/>
          </w:rPr>
          <w:t>artículo 839-1</w:t>
        </w:r>
      </w:hyperlink>
      <w:r w:rsidRPr="00EB03E2">
        <w:rPr>
          <w:color w:val="303030" w:themeColor="background1" w:themeShade="80"/>
          <w:lang w:val="es-CO"/>
        </w:rPr>
        <w:t> del E.T., ya sea consignando la suma retenida a órdenes de la autoridad competente o informando la inexistencia de recursos depositados en la respectiva entidad</w:t>
      </w:r>
      <w:hyperlink r:id="rId20" w:anchor="cite_note-9" w:history="1">
        <w:r w:rsidRPr="00EB03E2">
          <w:rPr>
            <w:rStyle w:val="Hipervnculo"/>
            <w:color w:val="303030" w:themeColor="background1" w:themeShade="80"/>
            <w:u w:val="none"/>
            <w:vertAlign w:val="superscript"/>
            <w:lang w:val="es-CO"/>
          </w:rPr>
          <w:t>9</w:t>
        </w:r>
      </w:hyperlink>
      <w:r w:rsidRPr="00EB03E2">
        <w:rPr>
          <w:color w:val="303030" w:themeColor="background1" w:themeShade="80"/>
          <w:lang w:val="es-CO"/>
        </w:rPr>
        <w:t>.</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4. En consecuencia, se informa que esta Entidad en ejercicio de sus competencias legales, se encuentra facultada para decretar el embargo de cuentas de ahorro de los contribuyentes que presenten obligaciones tributarias en mora, medida que deberá ejecutarse por las entidades financieras con estricto respeto del límite de inembargabilidad previsto en el </w:t>
      </w:r>
      <w:hyperlink r:id="rId21" w:tooltip="Estatuto Tributario CETA" w:history="1">
        <w:r w:rsidRPr="00EB03E2">
          <w:rPr>
            <w:rStyle w:val="Hipervnculo"/>
            <w:color w:val="303030" w:themeColor="background1" w:themeShade="80"/>
            <w:u w:val="none"/>
            <w:lang w:val="es-CO"/>
          </w:rPr>
          <w:t>artículo 837-1</w:t>
        </w:r>
      </w:hyperlink>
      <w:r w:rsidRPr="00EB03E2">
        <w:rPr>
          <w:color w:val="303030" w:themeColor="background1" w:themeShade="80"/>
          <w:lang w:val="es-CO"/>
        </w:rPr>
        <w:t> del E.T.</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5. En los anteriores términos se absuelve su petición y se recuerda que la normativa, jurisprudencia y doctrina en materia tributaria, aduanera y de fiscalización cambiaria, en lo de competencia de esta Entidad, puede consultarse en el normograma DIAN: </w:t>
      </w:r>
      <w:hyperlink r:id="rId22" w:tgtFrame="_blank" w:history="1">
        <w:r w:rsidRPr="00EB03E2">
          <w:rPr>
            <w:rStyle w:val="Hipervnculo"/>
            <w:color w:val="303030" w:themeColor="background1" w:themeShade="80"/>
            <w:u w:val="none"/>
            <w:lang w:val="es-CO"/>
          </w:rPr>
          <w:t>https://normograma.dian.gov.co/dian/</w:t>
        </w:r>
      </w:hyperlink>
      <w:r w:rsidRPr="00EB03E2">
        <w:rPr>
          <w:color w:val="303030" w:themeColor="background1" w:themeShade="80"/>
          <w:lang w:val="es-CO"/>
        </w:rPr>
        <w:t>.</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Atentamente,</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rPr>
          <w:color w:val="303030" w:themeColor="background1" w:themeShade="80"/>
          <w:lang w:val="es-CO"/>
        </w:rPr>
      </w:pPr>
      <w:r w:rsidRPr="00EB03E2">
        <w:rPr>
          <w:b/>
          <w:bCs/>
          <w:color w:val="303030" w:themeColor="background1" w:themeShade="80"/>
          <w:lang w:val="es-CO"/>
        </w:rPr>
        <w:t>INGRID CASTAÑEDA CEPEDA</w:t>
      </w:r>
    </w:p>
    <w:p w:rsidR="00EB03E2" w:rsidRPr="00EB03E2" w:rsidRDefault="00EB03E2" w:rsidP="00EB03E2">
      <w:pPr>
        <w:rPr>
          <w:color w:val="303030" w:themeColor="background1" w:themeShade="80"/>
          <w:lang w:val="es-CO"/>
        </w:rPr>
      </w:pPr>
      <w:r w:rsidRPr="00EB03E2">
        <w:rPr>
          <w:color w:val="303030" w:themeColor="background1" w:themeShade="80"/>
          <w:lang w:val="es-CO"/>
        </w:rPr>
        <w:t>Subdirectora de Normativa y Doctrina (A)</w:t>
      </w:r>
    </w:p>
    <w:p w:rsidR="00EB03E2" w:rsidRPr="00EB03E2" w:rsidRDefault="00EB03E2" w:rsidP="00EB03E2">
      <w:pPr>
        <w:rPr>
          <w:color w:val="303030" w:themeColor="background1" w:themeShade="80"/>
          <w:lang w:val="es-CO"/>
        </w:rPr>
      </w:pPr>
      <w:r w:rsidRPr="00EB03E2">
        <w:rPr>
          <w:color w:val="303030" w:themeColor="background1" w:themeShade="80"/>
          <w:lang w:val="es-CO"/>
        </w:rPr>
        <w:t>Subdirección de Normativa y Doctrina</w:t>
      </w:r>
    </w:p>
    <w:p w:rsidR="00EB03E2" w:rsidRPr="00EB03E2" w:rsidRDefault="00EB03E2" w:rsidP="00EB03E2">
      <w:pPr>
        <w:rPr>
          <w:color w:val="303030" w:themeColor="background1" w:themeShade="80"/>
          <w:lang w:val="es-CO"/>
        </w:rPr>
      </w:pPr>
      <w:r w:rsidRPr="00EB03E2">
        <w:rPr>
          <w:color w:val="303030" w:themeColor="background1" w:themeShade="80"/>
          <w:lang w:val="es-CO"/>
        </w:rPr>
        <w:t>Dirección de Gestión Jurídica</w:t>
      </w:r>
    </w:p>
    <w:p w:rsidR="00EB03E2" w:rsidRPr="00EB03E2" w:rsidRDefault="00EB03E2" w:rsidP="00EB03E2">
      <w:pPr>
        <w:rPr>
          <w:color w:val="303030" w:themeColor="background1" w:themeShade="80"/>
          <w:lang w:val="es-CO"/>
        </w:rPr>
      </w:pPr>
      <w:r w:rsidRPr="00EB03E2">
        <w:rPr>
          <w:color w:val="303030" w:themeColor="background1" w:themeShade="80"/>
          <w:lang w:val="es-CO"/>
        </w:rPr>
        <w:t>www.dian.gov.co</w:t>
      </w:r>
    </w:p>
    <w:p w:rsidR="00EB03E2" w:rsidRPr="00EB03E2" w:rsidRDefault="00EB03E2" w:rsidP="00EB03E2">
      <w:pPr>
        <w:rPr>
          <w:color w:val="303030" w:themeColor="background1" w:themeShade="80"/>
          <w:lang w:val="es-CO"/>
        </w:rPr>
      </w:pPr>
      <w:r w:rsidRPr="00EB03E2">
        <w:rPr>
          <w:color w:val="303030" w:themeColor="background1" w:themeShade="80"/>
          <w:lang w:val="es-CO"/>
        </w:rPr>
        <w:t> </w:t>
      </w:r>
    </w:p>
    <w:p w:rsidR="00EB03E2" w:rsidRPr="00EB03E2" w:rsidRDefault="00EB03E2" w:rsidP="00EB03E2">
      <w:pPr>
        <w:numPr>
          <w:ilvl w:val="0"/>
          <w:numId w:val="20"/>
        </w:numPr>
        <w:rPr>
          <w:b/>
          <w:bCs/>
          <w:color w:val="303030" w:themeColor="background1" w:themeShade="80"/>
          <w:lang w:val="es-CO"/>
        </w:rPr>
      </w:pPr>
      <w:r w:rsidRPr="00EB03E2">
        <w:rPr>
          <w:b/>
          <w:bCs/>
          <w:color w:val="303030" w:themeColor="background1" w:themeShade="80"/>
          <w:lang w:val="es-CO"/>
        </w:rPr>
        <w:t>Notas al pie</w:t>
      </w:r>
    </w:p>
    <w:p w:rsidR="00F50800" w:rsidRPr="00EB03E2" w:rsidRDefault="00F50800" w:rsidP="00EB03E2"/>
    <w:sectPr w:rsidR="00F50800" w:rsidRPr="00EB03E2" w:rsidSect="008C5242">
      <w:footerReference w:type="even" r:id="rId23"/>
      <w:footerReference w:type="default" r:id="rId24"/>
      <w:footerReference w:type="first" r:id="rId2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DFD" w:rsidRDefault="00E44DFD" w:rsidP="00857C06">
      <w:pPr>
        <w:spacing w:after="0" w:line="240" w:lineRule="auto"/>
      </w:pPr>
      <w:r>
        <w:separator/>
      </w:r>
    </w:p>
    <w:p w:rsidR="00E44DFD" w:rsidRDefault="00E44DFD"/>
  </w:endnote>
  <w:endnote w:type="continuationSeparator" w:id="0">
    <w:p w:rsidR="00E44DFD" w:rsidRDefault="00E44DFD" w:rsidP="00857C06">
      <w:pPr>
        <w:spacing w:after="0" w:line="240" w:lineRule="auto"/>
      </w:pPr>
      <w:r>
        <w:continuationSeparator/>
      </w:r>
    </w:p>
    <w:p w:rsidR="00E44DFD" w:rsidRDefault="00E4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4B32B0">
    <w:pPr>
      <w:pStyle w:val="Piedepgina"/>
    </w:pPr>
    <w:r>
      <w:rPr>
        <w:noProof/>
      </w:rPr>
      <mc:AlternateContent>
        <mc:Choice Requires="wps">
          <w:drawing>
            <wp:anchor distT="0" distB="0" distL="0" distR="0" simplePos="0" relativeHeight="251659264" behindDoc="0" locked="0" layoutInCell="1" allowOverlap="1" wp14:anchorId="6F4D95DE" wp14:editId="7C8562C1">
              <wp:simplePos x="635" y="635"/>
              <wp:positionH relativeFrom="page">
                <wp:align>center</wp:align>
              </wp:positionH>
              <wp:positionV relativeFrom="page">
                <wp:align>bottom</wp:align>
              </wp:positionV>
              <wp:extent cx="874395" cy="324485"/>
              <wp:effectExtent l="0" t="0" r="1905" b="0"/>
              <wp:wrapNone/>
              <wp:docPr id="603094868"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4B32B0" w:rsidRPr="004B32B0" w:rsidRDefault="004B32B0" w:rsidP="004B32B0">
                          <w:pPr>
                            <w:spacing w:after="0"/>
                            <w:rPr>
                              <w:rFonts w:ascii="Aptos" w:eastAsia="Aptos" w:hAnsi="Aptos" w:cs="Aptos"/>
                              <w:noProof/>
                              <w:color w:val="000000"/>
                              <w:sz w:val="16"/>
                              <w:szCs w:val="16"/>
                            </w:rPr>
                          </w:pPr>
                          <w:r w:rsidRPr="004B32B0">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D95DE"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4B32B0" w:rsidRPr="004B32B0" w:rsidRDefault="004B32B0" w:rsidP="004B32B0">
                    <w:pPr>
                      <w:spacing w:after="0"/>
                      <w:rPr>
                        <w:rFonts w:ascii="Aptos" w:eastAsia="Aptos" w:hAnsi="Aptos" w:cs="Aptos"/>
                        <w:noProof/>
                        <w:color w:val="000000"/>
                        <w:sz w:val="16"/>
                        <w:szCs w:val="16"/>
                      </w:rPr>
                    </w:pPr>
                    <w:r w:rsidRPr="004B32B0">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4B32B0"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7BC57E7E" wp14:editId="55804FA0">
              <wp:simplePos x="1079500" y="10102850"/>
              <wp:positionH relativeFrom="page">
                <wp:align>center</wp:align>
              </wp:positionH>
              <wp:positionV relativeFrom="page">
                <wp:align>bottom</wp:align>
              </wp:positionV>
              <wp:extent cx="874395" cy="324485"/>
              <wp:effectExtent l="0" t="0" r="1905" b="0"/>
              <wp:wrapNone/>
              <wp:docPr id="1676252187"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4B32B0" w:rsidRPr="004B32B0" w:rsidRDefault="004B32B0" w:rsidP="004B32B0">
                          <w:pPr>
                            <w:spacing w:after="0"/>
                            <w:rPr>
                              <w:rFonts w:ascii="Aptos" w:eastAsia="Aptos" w:hAnsi="Aptos" w:cs="Aptos"/>
                              <w:noProof/>
                              <w:color w:val="000000"/>
                              <w:sz w:val="16"/>
                              <w:szCs w:val="16"/>
                            </w:rPr>
                          </w:pPr>
                          <w:r w:rsidRPr="004B32B0">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57E7E"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4B32B0" w:rsidRPr="004B32B0" w:rsidRDefault="004B32B0" w:rsidP="004B32B0">
                    <w:pPr>
                      <w:spacing w:after="0"/>
                      <w:rPr>
                        <w:rFonts w:ascii="Aptos" w:eastAsia="Aptos" w:hAnsi="Aptos" w:cs="Aptos"/>
                        <w:noProof/>
                        <w:color w:val="000000"/>
                        <w:sz w:val="16"/>
                        <w:szCs w:val="16"/>
                      </w:rPr>
                    </w:pPr>
                    <w:r w:rsidRPr="004B32B0">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4B32B0">
    <w:pPr>
      <w:pStyle w:val="Piedepgina"/>
    </w:pPr>
    <w:r>
      <w:rPr>
        <w:noProof/>
      </w:rPr>
      <mc:AlternateContent>
        <mc:Choice Requires="wps">
          <w:drawing>
            <wp:anchor distT="0" distB="0" distL="0" distR="0" simplePos="0" relativeHeight="251658240" behindDoc="0" locked="0" layoutInCell="1" allowOverlap="1" wp14:anchorId="26060E47" wp14:editId="7AC03492">
              <wp:simplePos x="635" y="635"/>
              <wp:positionH relativeFrom="page">
                <wp:align>center</wp:align>
              </wp:positionH>
              <wp:positionV relativeFrom="page">
                <wp:align>bottom</wp:align>
              </wp:positionV>
              <wp:extent cx="874395" cy="324485"/>
              <wp:effectExtent l="0" t="0" r="1905" b="0"/>
              <wp:wrapNone/>
              <wp:docPr id="1589280899"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4B32B0" w:rsidRPr="004B32B0" w:rsidRDefault="004B32B0" w:rsidP="004B32B0">
                          <w:pPr>
                            <w:spacing w:after="0"/>
                            <w:rPr>
                              <w:rFonts w:ascii="Aptos" w:eastAsia="Aptos" w:hAnsi="Aptos" w:cs="Aptos"/>
                              <w:noProof/>
                              <w:color w:val="000000"/>
                              <w:sz w:val="16"/>
                              <w:szCs w:val="16"/>
                            </w:rPr>
                          </w:pPr>
                          <w:r w:rsidRPr="004B32B0">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60E47"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4B32B0" w:rsidRPr="004B32B0" w:rsidRDefault="004B32B0" w:rsidP="004B32B0">
                    <w:pPr>
                      <w:spacing w:after="0"/>
                      <w:rPr>
                        <w:rFonts w:ascii="Aptos" w:eastAsia="Aptos" w:hAnsi="Aptos" w:cs="Aptos"/>
                        <w:noProof/>
                        <w:color w:val="000000"/>
                        <w:sz w:val="16"/>
                        <w:szCs w:val="16"/>
                      </w:rPr>
                    </w:pPr>
                    <w:r w:rsidRPr="004B32B0">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DFD" w:rsidRDefault="00E44DFD" w:rsidP="00857C06">
      <w:pPr>
        <w:spacing w:after="0" w:line="240" w:lineRule="auto"/>
      </w:pPr>
      <w:r>
        <w:separator/>
      </w:r>
    </w:p>
    <w:p w:rsidR="00E44DFD" w:rsidRDefault="00E44DFD"/>
  </w:footnote>
  <w:footnote w:type="continuationSeparator" w:id="0">
    <w:p w:rsidR="00E44DFD" w:rsidRDefault="00E44DFD" w:rsidP="00857C06">
      <w:pPr>
        <w:spacing w:after="0" w:line="240" w:lineRule="auto"/>
      </w:pPr>
      <w:r>
        <w:continuationSeparator/>
      </w:r>
    </w:p>
    <w:p w:rsidR="00E44DFD" w:rsidRDefault="00E44D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E2"/>
    <w:rsid w:val="00003DEE"/>
    <w:rsid w:val="00006E56"/>
    <w:rsid w:val="00010C60"/>
    <w:rsid w:val="000204E4"/>
    <w:rsid w:val="00024257"/>
    <w:rsid w:val="00031E20"/>
    <w:rsid w:val="00034D7E"/>
    <w:rsid w:val="000413FC"/>
    <w:rsid w:val="00050AC8"/>
    <w:rsid w:val="00064C61"/>
    <w:rsid w:val="00066F7F"/>
    <w:rsid w:val="00067192"/>
    <w:rsid w:val="00082C98"/>
    <w:rsid w:val="000942F9"/>
    <w:rsid w:val="0009485D"/>
    <w:rsid w:val="000A1870"/>
    <w:rsid w:val="000B15C9"/>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61EEA"/>
    <w:rsid w:val="00264FB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2B0"/>
    <w:rsid w:val="004B3AFF"/>
    <w:rsid w:val="004C1812"/>
    <w:rsid w:val="004C33DA"/>
    <w:rsid w:val="004D072C"/>
    <w:rsid w:val="004E22D3"/>
    <w:rsid w:val="004F7F16"/>
    <w:rsid w:val="0050556B"/>
    <w:rsid w:val="00514245"/>
    <w:rsid w:val="0052228D"/>
    <w:rsid w:val="00532CEF"/>
    <w:rsid w:val="005406FA"/>
    <w:rsid w:val="00542851"/>
    <w:rsid w:val="00550D9B"/>
    <w:rsid w:val="00552138"/>
    <w:rsid w:val="00560E8F"/>
    <w:rsid w:val="0056534A"/>
    <w:rsid w:val="005654AA"/>
    <w:rsid w:val="005664C8"/>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52CF9"/>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806D1F"/>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A38EC"/>
    <w:rsid w:val="008B7416"/>
    <w:rsid w:val="008C5242"/>
    <w:rsid w:val="008C6592"/>
    <w:rsid w:val="008D0F43"/>
    <w:rsid w:val="008D43FB"/>
    <w:rsid w:val="008E1C9B"/>
    <w:rsid w:val="00903DB1"/>
    <w:rsid w:val="0090411D"/>
    <w:rsid w:val="00922041"/>
    <w:rsid w:val="00925CC4"/>
    <w:rsid w:val="00941530"/>
    <w:rsid w:val="00952BF2"/>
    <w:rsid w:val="00952DB1"/>
    <w:rsid w:val="00953A60"/>
    <w:rsid w:val="009624C3"/>
    <w:rsid w:val="00980D9D"/>
    <w:rsid w:val="00987516"/>
    <w:rsid w:val="009B38E8"/>
    <w:rsid w:val="009C345A"/>
    <w:rsid w:val="009D7220"/>
    <w:rsid w:val="009E4061"/>
    <w:rsid w:val="009F0105"/>
    <w:rsid w:val="009F2565"/>
    <w:rsid w:val="009F3AE1"/>
    <w:rsid w:val="00A1263C"/>
    <w:rsid w:val="00A17F20"/>
    <w:rsid w:val="00A323B4"/>
    <w:rsid w:val="00A500E7"/>
    <w:rsid w:val="00A61586"/>
    <w:rsid w:val="00A71A62"/>
    <w:rsid w:val="00A72662"/>
    <w:rsid w:val="00AA4168"/>
    <w:rsid w:val="00AA5A3C"/>
    <w:rsid w:val="00AB0791"/>
    <w:rsid w:val="00AB658A"/>
    <w:rsid w:val="00AB66CE"/>
    <w:rsid w:val="00B14819"/>
    <w:rsid w:val="00B21758"/>
    <w:rsid w:val="00B2417F"/>
    <w:rsid w:val="00B25AC5"/>
    <w:rsid w:val="00B341C8"/>
    <w:rsid w:val="00B423EA"/>
    <w:rsid w:val="00B4427B"/>
    <w:rsid w:val="00B575A4"/>
    <w:rsid w:val="00B712DB"/>
    <w:rsid w:val="00B74DD8"/>
    <w:rsid w:val="00B76C19"/>
    <w:rsid w:val="00B856F7"/>
    <w:rsid w:val="00B978B4"/>
    <w:rsid w:val="00BB16E0"/>
    <w:rsid w:val="00BD015F"/>
    <w:rsid w:val="00BD0E7C"/>
    <w:rsid w:val="00BD1148"/>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901AE"/>
    <w:rsid w:val="00C90772"/>
    <w:rsid w:val="00C93898"/>
    <w:rsid w:val="00C943EC"/>
    <w:rsid w:val="00C94EE6"/>
    <w:rsid w:val="00C96CDC"/>
    <w:rsid w:val="00CB53B1"/>
    <w:rsid w:val="00CC057B"/>
    <w:rsid w:val="00CC4B94"/>
    <w:rsid w:val="00CC6149"/>
    <w:rsid w:val="00CD0A2E"/>
    <w:rsid w:val="00CD4EE9"/>
    <w:rsid w:val="00CD65A2"/>
    <w:rsid w:val="00D0210D"/>
    <w:rsid w:val="00D02335"/>
    <w:rsid w:val="00D0313D"/>
    <w:rsid w:val="00D105DD"/>
    <w:rsid w:val="00D1528F"/>
    <w:rsid w:val="00D177E3"/>
    <w:rsid w:val="00D25F2B"/>
    <w:rsid w:val="00D34D1F"/>
    <w:rsid w:val="00D45F37"/>
    <w:rsid w:val="00D5356A"/>
    <w:rsid w:val="00D54EDA"/>
    <w:rsid w:val="00D66BE9"/>
    <w:rsid w:val="00D706CF"/>
    <w:rsid w:val="00D73D12"/>
    <w:rsid w:val="00D75ACE"/>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44DFD"/>
    <w:rsid w:val="00E5778C"/>
    <w:rsid w:val="00E732E8"/>
    <w:rsid w:val="00E75CD6"/>
    <w:rsid w:val="00E838DE"/>
    <w:rsid w:val="00E96671"/>
    <w:rsid w:val="00EA5FAF"/>
    <w:rsid w:val="00EB03E2"/>
    <w:rsid w:val="00EC0280"/>
    <w:rsid w:val="00EC1BB4"/>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64946"/>
    <w:rsid w:val="00F706B6"/>
    <w:rsid w:val="00F76BE2"/>
    <w:rsid w:val="00F81107"/>
    <w:rsid w:val="00FA0B33"/>
    <w:rsid w:val="00FA654D"/>
    <w:rsid w:val="00FA7524"/>
    <w:rsid w:val="00FB4514"/>
    <w:rsid w:val="00FB766E"/>
    <w:rsid w:val="00FC3A4C"/>
    <w:rsid w:val="00FC6BEE"/>
    <w:rsid w:val="00FD00BD"/>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3E198"/>
  <w15:chartTrackingRefBased/>
  <w15:docId w15:val="{9843678D-1D3F-46C7-9637-9BA7BF25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2"/>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EB03E2"/>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EB03E2"/>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EB03E2"/>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EB03E2"/>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EB03E2"/>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EB03E2"/>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2"/>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EB03E2"/>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EB03E2"/>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EB03E2"/>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EB03E2"/>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EB03E2"/>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EB03E2"/>
    <w:rPr>
      <w:rFonts w:eastAsiaTheme="majorEastAsia" w:cstheme="majorBidi"/>
      <w:color w:val="3182FF" w:themeColor="text1" w:themeTint="D8"/>
    </w:rPr>
  </w:style>
  <w:style w:type="paragraph" w:styleId="Ttulo">
    <w:name w:val="Title"/>
    <w:basedOn w:val="Normal"/>
    <w:next w:val="Normal"/>
    <w:link w:val="TtuloCar"/>
    <w:uiPriority w:val="10"/>
    <w:rsid w:val="00EB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3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EB03E2"/>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EB03E2"/>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EB03E2"/>
    <w:pPr>
      <w:spacing w:before="160"/>
      <w:jc w:val="center"/>
    </w:pPr>
    <w:rPr>
      <w:i/>
      <w:iCs/>
      <w:color w:val="4890FF" w:themeColor="text1" w:themeTint="BF"/>
    </w:rPr>
  </w:style>
  <w:style w:type="character" w:customStyle="1" w:styleId="CitaCar">
    <w:name w:val="Cita Car"/>
    <w:basedOn w:val="Fuentedeprrafopredeter"/>
    <w:link w:val="Cita"/>
    <w:uiPriority w:val="29"/>
    <w:rsid w:val="00EB03E2"/>
    <w:rPr>
      <w:i/>
      <w:iCs/>
      <w:color w:val="4890FF" w:themeColor="text1" w:themeTint="BF"/>
    </w:rPr>
  </w:style>
  <w:style w:type="character" w:styleId="nfasisintenso">
    <w:name w:val="Intense Emphasis"/>
    <w:basedOn w:val="Fuentedeprrafopredeter"/>
    <w:uiPriority w:val="21"/>
    <w:rsid w:val="00EB03E2"/>
    <w:rPr>
      <w:i/>
      <w:iCs/>
      <w:color w:val="52596E" w:themeColor="accent1" w:themeShade="BF"/>
    </w:rPr>
  </w:style>
  <w:style w:type="paragraph" w:styleId="Citadestacada">
    <w:name w:val="Intense Quote"/>
    <w:basedOn w:val="Normal"/>
    <w:next w:val="Normal"/>
    <w:link w:val="CitadestacadaCar"/>
    <w:uiPriority w:val="30"/>
    <w:rsid w:val="00EB03E2"/>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EB03E2"/>
    <w:rPr>
      <w:i/>
      <w:iCs/>
      <w:color w:val="52596E" w:themeColor="accent1" w:themeShade="BF"/>
    </w:rPr>
  </w:style>
  <w:style w:type="character" w:styleId="Referenciaintensa">
    <w:name w:val="Intense Reference"/>
    <w:basedOn w:val="Fuentedeprrafopredeter"/>
    <w:uiPriority w:val="32"/>
    <w:rsid w:val="00EB03E2"/>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ta.org.co/html/vista_de_un_documento.asp?DocumentoID=60356&amp;zoom_highlight=" TargetMode="External"/><Relationship Id="rId18" Type="http://schemas.openxmlformats.org/officeDocument/2006/relationships/hyperlink" Target="https://www.ceta.org.co/html/vista_de_un_documento.asp?DocumentoID=60356&amp;zoom_highligh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ceta.org.co/html/vista_de_un_articulo.asp?Norma=15139" TargetMode="External"/><Relationship Id="rId7" Type="http://schemas.openxmlformats.org/officeDocument/2006/relationships/footnotes" Target="footnotes.xml"/><Relationship Id="rId12" Type="http://schemas.openxmlformats.org/officeDocument/2006/relationships/hyperlink" Target="https://www.ceta.org.co/html/vista_de_un_articulo.asp?Norma=1036" TargetMode="External"/><Relationship Id="rId17" Type="http://schemas.openxmlformats.org/officeDocument/2006/relationships/hyperlink" Target="https://www.ceta.org.co/html/vista_de_un_articulo.asp?Norma=1513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eta.org.co/html/vista_de_un_documento.asp?DocumentoID=60356&amp;zoom_highlight=" TargetMode="External"/><Relationship Id="rId20" Type="http://schemas.openxmlformats.org/officeDocument/2006/relationships/hyperlink" Target="https://www.ceta.org.co/html/vista_de_un_documento.asp?DocumentoID=60356&amp;zoom_highligh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ta.org.co/html/vista_de_un_documento.asp?DocumentoID=60356&amp;zoom_highligh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eta.org.co/html/vista_de_un_documento.asp?DocumentoID=60356&amp;zoom_highlight=" TargetMode="External"/><Relationship Id="rId23" Type="http://schemas.openxmlformats.org/officeDocument/2006/relationships/footer" Target="footer1.xml"/><Relationship Id="rId10" Type="http://schemas.openxmlformats.org/officeDocument/2006/relationships/hyperlink" Target="https://www.ceta.org.co/html/vista_de_un_documento.asp?DocumentoID=60356&amp;zoom_highlight=" TargetMode="External"/><Relationship Id="rId19" Type="http://schemas.openxmlformats.org/officeDocument/2006/relationships/hyperlink" Target="https://www.ceta.org.co/html/vista_de_un_articulo.asp?Norma=1039" TargetMode="External"/><Relationship Id="rId4" Type="http://schemas.openxmlformats.org/officeDocument/2006/relationships/styles" Target="styles.xml"/><Relationship Id="rId9" Type="http://schemas.openxmlformats.org/officeDocument/2006/relationships/hyperlink" Target="https://www.ceta.org.co/html/vista_de_un_documento.asp?DocumentoID=60356&amp;zoom_highlight=" TargetMode="External"/><Relationship Id="rId14" Type="http://schemas.openxmlformats.org/officeDocument/2006/relationships/hyperlink" Target="https://www.ceta.org.co/html/vista_de_un_documento.asp?DocumentoID=60356&amp;zoom_highlight=" TargetMode="External"/><Relationship Id="rId22" Type="http://schemas.openxmlformats.org/officeDocument/2006/relationships/hyperlink" Target="https://normograma.dian.gov.co/dia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5060</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2026-04-27T13:01:00Z</dcterms:created>
  <dcterms:modified xsi:type="dcterms:W3CDTF">2026-04-27T13:01:00Z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5eba8083,23f27f54,63e9941b</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2026-04-27T13:01:56Z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8892fc60-97a6-4305-9add-8d0514f49d8b</vt:lpwstr>
  </property>
  <property fmtid="{D5CDD505-2E9C-101B-9397-08002B2CF9AE}" pid="11" name="MSIP_Label_35bcdbf9-7feb-48d4-8a77-96de150ae250_ContentBits">
    <vt:lpwstr>0</vt:lpwstr>
  </property>
</Properties>
</file>