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E59" w:rsidRPr="00A44E59" w:rsidRDefault="00A44E59" w:rsidP="00A44E59">
      <w:pPr>
        <w:rPr>
          <w:b/>
          <w:bCs/>
          <w:lang w:val="es-CO"/>
        </w:rPr>
      </w:pPr>
      <w:r w:rsidRPr="00A44E59">
        <w:rPr>
          <w:b/>
          <w:bCs/>
          <w:lang w:val="es-CO"/>
        </w:rPr>
        <w:t>Concepto 691</w:t>
      </w:r>
    </w:p>
    <w:p w:rsidR="00A44E59" w:rsidRPr="00A44E59" w:rsidRDefault="00A44E59" w:rsidP="00A44E59">
      <w:pPr>
        <w:rPr>
          <w:b/>
          <w:bCs/>
          <w:lang w:val="es-CO"/>
        </w:rPr>
      </w:pPr>
      <w:r w:rsidRPr="00A44E59">
        <w:rPr>
          <w:b/>
          <w:bCs/>
          <w:lang w:val="es-CO"/>
        </w:rPr>
        <w:t>08-05-2026</w:t>
      </w:r>
    </w:p>
    <w:p w:rsidR="00A44E59" w:rsidRPr="00A44E59" w:rsidRDefault="00A44E59" w:rsidP="00A44E59">
      <w:pPr>
        <w:rPr>
          <w:b/>
          <w:bCs/>
          <w:lang w:val="es-CO"/>
        </w:rPr>
      </w:pPr>
      <w:r w:rsidRPr="00A44E59">
        <w:rPr>
          <w:b/>
          <w:bCs/>
          <w:lang w:val="es-CO"/>
        </w:rPr>
        <w:t>DIAN</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100208192 – 691</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Bogotá D.C.,</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Señor</w:t>
      </w:r>
    </w:p>
    <w:p w:rsidR="00A44E59" w:rsidRPr="00A44E59" w:rsidRDefault="00A44E59" w:rsidP="00A44E59">
      <w:pPr>
        <w:rPr>
          <w:b/>
          <w:bCs/>
          <w:lang w:val="es-CO"/>
        </w:rPr>
      </w:pPr>
      <w:r w:rsidRPr="00A44E59">
        <w:rPr>
          <w:b/>
          <w:bCs/>
          <w:lang w:val="es-CO"/>
        </w:rPr>
        <w:t>Contribuyente</w:t>
      </w:r>
    </w:p>
    <w:p w:rsidR="00A44E59" w:rsidRPr="00A44E59" w:rsidRDefault="00A44E59" w:rsidP="00A44E59">
      <w:pPr>
        <w:rPr>
          <w:b/>
          <w:bCs/>
          <w:lang w:val="es-CO"/>
        </w:rPr>
      </w:pPr>
      <w:r w:rsidRPr="00A44E59">
        <w:rPr>
          <w:b/>
          <w:bCs/>
          <w:lang w:val="es-CO"/>
        </w:rPr>
        <w:t>academicotributario@gmail.com</w:t>
      </w:r>
    </w:p>
    <w:p w:rsidR="00A44E59" w:rsidRPr="00A44E59" w:rsidRDefault="00A44E59" w:rsidP="00A44E59">
      <w:pPr>
        <w:rPr>
          <w:b/>
          <w:bCs/>
          <w:lang w:val="es-CO"/>
        </w:rPr>
      </w:pPr>
      <w:r w:rsidRPr="00A44E59">
        <w:rPr>
          <w:b/>
          <w:bCs/>
          <w:lang w:val="es-CO"/>
        </w:rPr>
        <w:t>Ref.: Radicado PQRS 000175 - 2026DP000035562 del 05/02/2026.</w:t>
      </w:r>
    </w:p>
    <w:p w:rsidR="00A44E59" w:rsidRPr="00A44E59" w:rsidRDefault="00A44E59" w:rsidP="00A44E59">
      <w:pPr>
        <w:rPr>
          <w:b/>
          <w:bCs/>
          <w:lang w:val="es-CO"/>
        </w:rPr>
      </w:pPr>
      <w:r w:rsidRPr="00A44E59">
        <w:rPr>
          <w:b/>
          <w:bCs/>
          <w:lang w:val="es-CO"/>
        </w:rPr>
        <w:t> </w:t>
      </w:r>
    </w:p>
    <w:tbl>
      <w:tblPr>
        <w:tblW w:w="0" w:type="auto"/>
        <w:tblCellMar>
          <w:top w:w="15" w:type="dxa"/>
          <w:left w:w="15" w:type="dxa"/>
          <w:bottom w:w="15" w:type="dxa"/>
          <w:right w:w="15" w:type="dxa"/>
        </w:tblCellMar>
        <w:tblLook w:val="04A0" w:firstRow="1" w:lastRow="0" w:firstColumn="1" w:lastColumn="0" w:noHBand="0" w:noVBand="1"/>
      </w:tblPr>
      <w:tblGrid>
        <w:gridCol w:w="2141"/>
        <w:gridCol w:w="6363"/>
      </w:tblGrid>
      <w:tr w:rsidR="00A44E59" w:rsidRPr="00A44E59">
        <w:tc>
          <w:tcPr>
            <w:tcW w:w="2255" w:type="dxa"/>
            <w:tcBorders>
              <w:top w:val="nil"/>
              <w:left w:val="nil"/>
              <w:bottom w:val="nil"/>
              <w:right w:val="nil"/>
            </w:tcBorders>
            <w:tcMar>
              <w:top w:w="0" w:type="dxa"/>
              <w:left w:w="105" w:type="dxa"/>
              <w:bottom w:w="0" w:type="dxa"/>
              <w:right w:w="105" w:type="dxa"/>
            </w:tcMar>
            <w:hideMark/>
          </w:tcPr>
          <w:p w:rsidR="00A44E59" w:rsidRPr="00A44E59" w:rsidRDefault="00A44E59" w:rsidP="00A44E59">
            <w:pPr>
              <w:rPr>
                <w:b/>
                <w:bCs/>
                <w:lang w:val="es-CO"/>
              </w:rPr>
            </w:pPr>
            <w:r w:rsidRPr="00A44E59">
              <w:rPr>
                <w:b/>
                <w:bCs/>
                <w:lang w:val="es-CO"/>
              </w:rPr>
              <w:t>Tema:</w:t>
            </w:r>
          </w:p>
        </w:tc>
        <w:tc>
          <w:tcPr>
            <w:tcW w:w="7320" w:type="dxa"/>
            <w:tcBorders>
              <w:top w:val="nil"/>
              <w:left w:val="nil"/>
              <w:bottom w:val="nil"/>
              <w:right w:val="nil"/>
            </w:tcBorders>
            <w:tcMar>
              <w:top w:w="0" w:type="dxa"/>
              <w:left w:w="105" w:type="dxa"/>
              <w:bottom w:w="0" w:type="dxa"/>
              <w:right w:w="105" w:type="dxa"/>
            </w:tcMar>
            <w:hideMark/>
          </w:tcPr>
          <w:p w:rsidR="00A44E59" w:rsidRPr="00A44E59" w:rsidRDefault="00A44E59" w:rsidP="00A44E59">
            <w:pPr>
              <w:rPr>
                <w:b/>
                <w:bCs/>
                <w:lang w:val="es-CO"/>
              </w:rPr>
            </w:pPr>
            <w:r w:rsidRPr="00A44E59">
              <w:rPr>
                <w:b/>
                <w:bCs/>
                <w:lang w:val="es-CO"/>
              </w:rPr>
              <w:t>Procedimiento sancionatorio</w:t>
            </w:r>
          </w:p>
        </w:tc>
      </w:tr>
      <w:tr w:rsidR="00A44E59" w:rsidRPr="00A44E59">
        <w:tc>
          <w:tcPr>
            <w:tcW w:w="2255" w:type="dxa"/>
            <w:tcBorders>
              <w:top w:val="nil"/>
              <w:left w:val="nil"/>
              <w:bottom w:val="nil"/>
              <w:right w:val="nil"/>
            </w:tcBorders>
            <w:tcMar>
              <w:top w:w="0" w:type="dxa"/>
              <w:left w:w="105" w:type="dxa"/>
              <w:bottom w:w="0" w:type="dxa"/>
              <w:right w:w="105" w:type="dxa"/>
            </w:tcMar>
            <w:hideMark/>
          </w:tcPr>
          <w:p w:rsidR="00A44E59" w:rsidRPr="00A44E59" w:rsidRDefault="00A44E59" w:rsidP="00A44E59">
            <w:pPr>
              <w:rPr>
                <w:b/>
                <w:bCs/>
                <w:lang w:val="es-CO"/>
              </w:rPr>
            </w:pPr>
            <w:r w:rsidRPr="00A44E59">
              <w:rPr>
                <w:b/>
                <w:bCs/>
                <w:lang w:val="es-CO"/>
              </w:rPr>
              <w:t>Descriptores:</w:t>
            </w:r>
          </w:p>
        </w:tc>
        <w:tc>
          <w:tcPr>
            <w:tcW w:w="7320" w:type="dxa"/>
            <w:tcBorders>
              <w:top w:val="nil"/>
              <w:left w:val="nil"/>
              <w:bottom w:val="nil"/>
              <w:right w:val="nil"/>
            </w:tcBorders>
            <w:tcMar>
              <w:top w:w="0" w:type="dxa"/>
              <w:left w:w="105" w:type="dxa"/>
              <w:bottom w:w="0" w:type="dxa"/>
              <w:right w:w="105" w:type="dxa"/>
            </w:tcMar>
            <w:hideMark/>
          </w:tcPr>
          <w:p w:rsidR="00A44E59" w:rsidRPr="00A44E59" w:rsidRDefault="00A44E59" w:rsidP="00A44E59">
            <w:pPr>
              <w:rPr>
                <w:b/>
                <w:bCs/>
                <w:lang w:val="es-CO"/>
              </w:rPr>
            </w:pPr>
            <w:r w:rsidRPr="00A44E59">
              <w:rPr>
                <w:b/>
                <w:bCs/>
                <w:lang w:val="es-CO"/>
              </w:rPr>
              <w:t>Sanciones – Gradualidad – Extemporaneidad</w:t>
            </w:r>
          </w:p>
        </w:tc>
      </w:tr>
      <w:tr w:rsidR="00A44E59" w:rsidRPr="00A44E59">
        <w:tc>
          <w:tcPr>
            <w:tcW w:w="2255" w:type="dxa"/>
            <w:tcBorders>
              <w:top w:val="nil"/>
              <w:left w:val="nil"/>
              <w:bottom w:val="nil"/>
              <w:right w:val="nil"/>
            </w:tcBorders>
            <w:tcMar>
              <w:top w:w="0" w:type="dxa"/>
              <w:left w:w="105" w:type="dxa"/>
              <w:bottom w:w="0" w:type="dxa"/>
              <w:right w:w="105" w:type="dxa"/>
            </w:tcMar>
            <w:hideMark/>
          </w:tcPr>
          <w:p w:rsidR="00A44E59" w:rsidRPr="00A44E59" w:rsidRDefault="00A44E59" w:rsidP="00A44E59">
            <w:pPr>
              <w:rPr>
                <w:b/>
                <w:bCs/>
                <w:lang w:val="es-CO"/>
              </w:rPr>
            </w:pPr>
            <w:r w:rsidRPr="00A44E59">
              <w:rPr>
                <w:b/>
                <w:bCs/>
                <w:lang w:val="es-CO"/>
              </w:rPr>
              <w:t>Fuentes formales:</w:t>
            </w:r>
          </w:p>
        </w:tc>
        <w:tc>
          <w:tcPr>
            <w:tcW w:w="7320" w:type="dxa"/>
            <w:tcBorders>
              <w:top w:val="nil"/>
              <w:left w:val="nil"/>
              <w:bottom w:val="nil"/>
              <w:right w:val="nil"/>
            </w:tcBorders>
            <w:tcMar>
              <w:top w:w="0" w:type="dxa"/>
              <w:left w:w="105" w:type="dxa"/>
              <w:bottom w:w="0" w:type="dxa"/>
              <w:right w:w="105" w:type="dxa"/>
            </w:tcMar>
            <w:hideMark/>
          </w:tcPr>
          <w:p w:rsidR="00A44E59" w:rsidRPr="00A44E59" w:rsidRDefault="00A44E59" w:rsidP="00A44E59">
            <w:pPr>
              <w:rPr>
                <w:b/>
                <w:bCs/>
                <w:lang w:val="es-CO"/>
              </w:rPr>
            </w:pPr>
            <w:hyperlink r:id="rId9" w:tooltip="Estatuto Tributario CETA" w:history="1">
              <w:r w:rsidRPr="00A44E59">
                <w:rPr>
                  <w:rStyle w:val="Hipervnculo"/>
                  <w:b/>
                  <w:bCs/>
                  <w:color w:val="auto"/>
                  <w:u w:val="none"/>
                  <w:lang w:val="es-CO"/>
                </w:rPr>
                <w:t>Artículo 640</w:t>
              </w:r>
            </w:hyperlink>
            <w:r w:rsidRPr="00A44E59">
              <w:rPr>
                <w:b/>
                <w:bCs/>
                <w:lang w:val="es-CO"/>
              </w:rPr>
              <w:t> Estatuto Tributario, Concepto Unificado 014116 de 2017, Concepto 001816 de 2018</w:t>
            </w:r>
          </w:p>
        </w:tc>
      </w:tr>
    </w:tbl>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Cordial saludo,</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1. Este Despacho tiene competencia para resolver las peticiones de aclaración, complementación o adición de conceptos expedidos por la Subdirección de Normativa y Doctrina.</w:t>
      </w:r>
      <w:hyperlink r:id="rId10" w:anchor="cite_note-1" w:history="1">
        <w:r w:rsidRPr="00A44E59">
          <w:rPr>
            <w:rStyle w:val="Hipervnculo"/>
            <w:b/>
            <w:bCs/>
            <w:color w:val="auto"/>
            <w:u w:val="none"/>
            <w:vertAlign w:val="superscript"/>
            <w:lang w:val="es-CO"/>
          </w:rPr>
          <w:t>1</w:t>
        </w:r>
      </w:hyperlink>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2. Mediante el radicado de la referencia, el peticionario solicita la aclaración respecto de precisar el momento en el que empieza a correr el término de dos (2) años previsto en el numeral 1 del </w:t>
      </w:r>
      <w:hyperlink r:id="rId11" w:tooltip="Estatuto Tributario CETA" w:history="1">
        <w:r w:rsidRPr="00A44E59">
          <w:rPr>
            <w:rStyle w:val="Hipervnculo"/>
            <w:b/>
            <w:bCs/>
            <w:color w:val="auto"/>
            <w:u w:val="none"/>
            <w:lang w:val="es-CO"/>
          </w:rPr>
          <w:t>artículo 640</w:t>
        </w:r>
      </w:hyperlink>
      <w:r w:rsidRPr="00A44E59">
        <w:rPr>
          <w:b/>
          <w:bCs/>
          <w:lang w:val="es-CO"/>
        </w:rPr>
        <w:t> del Estatuto Tributario. El análisis se centra en la sanción por extemporaneidad, bajo la óptica de los principios de lesividad, proporcionalidad, gradualidad y favorabilidad. Específicamente, se busca determinar si dicho plazo se contabiliza de forma retroactiva desde la fecha de presentación, desde el vencimiento del plazo legal o por años gravables, de conformidad con la doctrina de la DIAN (Conceptos 014116 de 2017 y 001816 de 2018).</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3. El </w:t>
      </w:r>
      <w:hyperlink r:id="rId12" w:tooltip="Estatuto Tributario CETA" w:history="1">
        <w:r w:rsidRPr="00A44E59">
          <w:rPr>
            <w:rStyle w:val="Hipervnculo"/>
            <w:b/>
            <w:bCs/>
            <w:color w:val="auto"/>
            <w:u w:val="none"/>
            <w:lang w:val="es-CO"/>
          </w:rPr>
          <w:t>artículo 640</w:t>
        </w:r>
      </w:hyperlink>
      <w:r w:rsidRPr="00A44E59">
        <w:rPr>
          <w:b/>
          <w:bCs/>
          <w:lang w:val="es-CO"/>
        </w:rPr>
        <w:t> del Estatuto Tributario, modificado por el artículo 282 la Ley 1819 de 2016, supedita la reducción de la sanción a que: “Dentro de los dos (2) años anteriores a la fecha de la comisión de la conducta sancionable, el contribuyente (...) no haya cometido la misma conducta”.</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4. En la infracción de extemporaneidad, la conducta punible es la omisión de presentar la declaración dentro del término legal. En consecuencia, el hecho generador de la sanción se perfecciona una vez expira el plazo fijado por la norma sin que se haya verificado el cumplimiento de la obligación. Es en ese momento preciso donde se sitúa la “comisión de la conducta”.</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5. Si bien los conceptos citados</w:t>
      </w:r>
      <w:hyperlink r:id="rId13" w:anchor="cite_note-2" w:history="1">
        <w:r w:rsidRPr="00A44E59">
          <w:rPr>
            <w:rStyle w:val="Hipervnculo"/>
            <w:b/>
            <w:bCs/>
            <w:color w:val="auto"/>
            <w:u w:val="none"/>
            <w:vertAlign w:val="superscript"/>
            <w:lang w:val="es-CO"/>
          </w:rPr>
          <w:t>2</w:t>
        </w:r>
      </w:hyperlink>
      <w:r w:rsidRPr="00A44E59">
        <w:rPr>
          <w:b/>
          <w:bCs/>
          <w:lang w:val="es-CO"/>
        </w:rPr>
        <w:t> establecen la doctrina general sobre la gradualidad y proporcionalidad, debe precisarse que la aplicación de la reducción requiere un análisis de “reincidencia” en un periodo cronológico de dos (2) años.</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6. No se cuenta desde la fecha de presentación: La presentación extemporánea es el acto que pone fin a la infracción, pero la “comisión” de la misma ocurrió el día en que se venció el plazo.</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7. No se cuenta por años gravables: El término de dos años es un término de tiempo corrido (calendario). El contribuyente debe mirar hacia atrás dos años desde la fecha del vencimiento que dio origen a la sanción actual para verificar si en ese lapso incurrió en otra extemporaneidad.</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8. A manera de ejemplo de aplicación: Si una declaración de IVA del periodo 1 de 2024 vencía el 15 de mayo de 2024 y se presenta el 20 de junio de 2024:</w:t>
      </w:r>
    </w:p>
    <w:p w:rsidR="00A44E59" w:rsidRPr="00A44E59" w:rsidRDefault="00A44E59" w:rsidP="00A44E59">
      <w:pPr>
        <w:rPr>
          <w:b/>
          <w:bCs/>
          <w:lang w:val="es-CO"/>
        </w:rPr>
      </w:pPr>
      <w:r w:rsidRPr="00A44E59">
        <w:rPr>
          <w:b/>
          <w:bCs/>
          <w:lang w:val="es-CO"/>
        </w:rPr>
        <w:t> </w:t>
      </w:r>
    </w:p>
    <w:p w:rsidR="00A44E59" w:rsidRPr="00A44E59" w:rsidRDefault="00A44E59" w:rsidP="00A44E59">
      <w:pPr>
        <w:numPr>
          <w:ilvl w:val="0"/>
          <w:numId w:val="22"/>
        </w:numPr>
        <w:rPr>
          <w:b/>
          <w:bCs/>
          <w:lang w:val="es-CO"/>
        </w:rPr>
      </w:pPr>
      <w:r w:rsidRPr="00A44E59">
        <w:rPr>
          <w:b/>
          <w:bCs/>
          <w:lang w:val="es-CO"/>
        </w:rPr>
        <w:t>La “comisión de la conducta” es el 16 de mayo de 2024.</w:t>
      </w:r>
    </w:p>
    <w:p w:rsidR="00A44E59" w:rsidRPr="00A44E59" w:rsidRDefault="00A44E59" w:rsidP="00A44E59">
      <w:pPr>
        <w:rPr>
          <w:b/>
          <w:bCs/>
          <w:lang w:val="es-CO"/>
        </w:rPr>
      </w:pPr>
      <w:r w:rsidRPr="00A44E59">
        <w:rPr>
          <w:b/>
          <w:bCs/>
          <w:lang w:val="es-CO"/>
        </w:rPr>
        <w:t> </w:t>
      </w:r>
    </w:p>
    <w:p w:rsidR="00A44E59" w:rsidRPr="00A44E59" w:rsidRDefault="00A44E59" w:rsidP="00A44E59">
      <w:pPr>
        <w:numPr>
          <w:ilvl w:val="0"/>
          <w:numId w:val="23"/>
        </w:numPr>
        <w:rPr>
          <w:b/>
          <w:bCs/>
          <w:lang w:val="es-CO"/>
        </w:rPr>
      </w:pPr>
      <w:r w:rsidRPr="00A44E59">
        <w:rPr>
          <w:b/>
          <w:bCs/>
          <w:lang w:val="es-CO"/>
        </w:rPr>
        <w:t>El término de dos años para evaluar la reducción se cuenta desde el 16 de mayo de 2024 hacia atrás (hasta el 16 de mayo de 2022).</w:t>
      </w:r>
    </w:p>
    <w:p w:rsidR="00A44E59" w:rsidRPr="00A44E59" w:rsidRDefault="00A44E59" w:rsidP="00A44E59">
      <w:pPr>
        <w:rPr>
          <w:b/>
          <w:bCs/>
          <w:lang w:val="es-CO"/>
        </w:rPr>
      </w:pPr>
      <w:r w:rsidRPr="00A44E59">
        <w:rPr>
          <w:b/>
          <w:bCs/>
          <w:lang w:val="es-CO"/>
        </w:rPr>
        <w:t> </w:t>
      </w:r>
    </w:p>
    <w:p w:rsidR="00A44E59" w:rsidRPr="00A44E59" w:rsidRDefault="00A44E59" w:rsidP="00A44E59">
      <w:pPr>
        <w:numPr>
          <w:ilvl w:val="0"/>
          <w:numId w:val="24"/>
        </w:numPr>
        <w:rPr>
          <w:b/>
          <w:bCs/>
          <w:lang w:val="es-CO"/>
        </w:rPr>
      </w:pPr>
      <w:r w:rsidRPr="00A44E59">
        <w:rPr>
          <w:b/>
          <w:bCs/>
          <w:lang w:val="es-CO"/>
        </w:rPr>
        <w:t>Si entre el 16 de mayo de 2022 y el 15 de mayo de 2024 el contribuyente no tuvo otras extemporaneidades de la misma naturaleza, podrá aplicar la reducción del artículo 640.</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9. En consecuencia, para efectos de aplicar el numeral 1 del </w:t>
      </w:r>
      <w:hyperlink r:id="rId14" w:tooltip="Estatuto Tributario CETA" w:history="1">
        <w:r w:rsidRPr="00A44E59">
          <w:rPr>
            <w:rStyle w:val="Hipervnculo"/>
            <w:b/>
            <w:bCs/>
            <w:color w:val="auto"/>
            <w:u w:val="none"/>
            <w:lang w:val="es-CO"/>
          </w:rPr>
          <w:t>artículo 640</w:t>
        </w:r>
      </w:hyperlink>
      <w:r w:rsidRPr="00A44E59">
        <w:rPr>
          <w:b/>
          <w:bCs/>
          <w:lang w:val="es-CO"/>
        </w:rPr>
        <w:t> del Estatuto Tributario cuando la conducta sancionable sea la presentación extemporánea de la declaración:</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10. El término de dos (2) años se cuenta retroactivamente desde la fecha en que se configuró la conducta infractora, esto es, desde el vencimiento del plazo para declarar sin que la declaración se hubiere presentado oportunamente.</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11. No se cuenta desde la fecha en que se presenta la declaración extemporánea.</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12. No se determina por años gravables, sino por el momento de comisión de la conducta.</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13. Lo anterior constituye precisión interpretativa respecto de la doctrina contenida en los Conceptos 014116 de 2017 y 001816 de 2018.</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14. En los anteriores términos se resuelve su petición y se recuerda que la normativa, jurisprudencia y doctrina en materia tributaria, aduanera y de fiscalización cambiaria, en lo de competencia de esta Entidad, puede consultarse en el normograma DIAN: </w:t>
      </w:r>
      <w:hyperlink r:id="rId15" w:tgtFrame="_blank" w:history="1">
        <w:r w:rsidRPr="00A44E59">
          <w:rPr>
            <w:rStyle w:val="Hipervnculo"/>
            <w:b/>
            <w:bCs/>
            <w:color w:val="auto"/>
            <w:u w:val="none"/>
            <w:lang w:val="es-CO"/>
          </w:rPr>
          <w:t>https://normograma.dian.gov.co/dian/</w:t>
        </w:r>
      </w:hyperlink>
      <w:r w:rsidRPr="00A44E59">
        <w:rPr>
          <w:b/>
          <w:bCs/>
          <w:lang w:val="es-CO"/>
        </w:rPr>
        <w:t>.</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Atentamente,</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 </w:t>
      </w:r>
    </w:p>
    <w:p w:rsidR="00A44E59" w:rsidRPr="00A44E59" w:rsidRDefault="00A44E59" w:rsidP="00A44E59">
      <w:pPr>
        <w:rPr>
          <w:b/>
          <w:bCs/>
          <w:lang w:val="es-CO"/>
        </w:rPr>
      </w:pPr>
      <w:r w:rsidRPr="00A44E59">
        <w:rPr>
          <w:b/>
          <w:bCs/>
          <w:lang w:val="es-CO"/>
        </w:rPr>
        <w:t>INGRID CASTAÑEDA CEPEDA</w:t>
      </w:r>
    </w:p>
    <w:p w:rsidR="00A44E59" w:rsidRPr="00A44E59" w:rsidRDefault="00A44E59" w:rsidP="00A44E59">
      <w:pPr>
        <w:rPr>
          <w:b/>
          <w:bCs/>
          <w:lang w:val="es-CO"/>
        </w:rPr>
      </w:pPr>
      <w:r w:rsidRPr="00A44E59">
        <w:rPr>
          <w:b/>
          <w:bCs/>
          <w:lang w:val="es-CO"/>
        </w:rPr>
        <w:t>Subdirectora de Normativa y Doctrina (A)</w:t>
      </w:r>
    </w:p>
    <w:p w:rsidR="00A44E59" w:rsidRPr="00A44E59" w:rsidRDefault="00A44E59" w:rsidP="00A44E59">
      <w:pPr>
        <w:rPr>
          <w:b/>
          <w:bCs/>
          <w:lang w:val="es-CO"/>
        </w:rPr>
      </w:pPr>
      <w:r w:rsidRPr="00A44E59">
        <w:rPr>
          <w:b/>
          <w:bCs/>
          <w:lang w:val="es-CO"/>
        </w:rPr>
        <w:t>Subdirección de Normativa y Doctrina</w:t>
      </w:r>
    </w:p>
    <w:p w:rsidR="00A44E59" w:rsidRPr="00A44E59" w:rsidRDefault="00A44E59" w:rsidP="00A44E59">
      <w:pPr>
        <w:rPr>
          <w:b/>
          <w:bCs/>
          <w:lang w:val="es-CO"/>
        </w:rPr>
      </w:pPr>
      <w:r w:rsidRPr="00A44E59">
        <w:rPr>
          <w:b/>
          <w:bCs/>
          <w:lang w:val="es-CO"/>
        </w:rPr>
        <w:t>Dirección de Gestión Jurídica</w:t>
      </w:r>
    </w:p>
    <w:p w:rsidR="00A44E59" w:rsidRPr="00A44E59" w:rsidRDefault="00A44E59" w:rsidP="00A44E59">
      <w:pPr>
        <w:rPr>
          <w:b/>
          <w:bCs/>
          <w:lang w:val="es-CO"/>
        </w:rPr>
      </w:pPr>
      <w:r w:rsidRPr="00A44E59">
        <w:rPr>
          <w:b/>
          <w:bCs/>
          <w:lang w:val="es-CO"/>
        </w:rPr>
        <w:t>www.dian.gov.co</w:t>
      </w:r>
    </w:p>
    <w:p w:rsidR="00A44E59" w:rsidRPr="00A44E59" w:rsidRDefault="00A44E59" w:rsidP="00A44E59">
      <w:pPr>
        <w:rPr>
          <w:b/>
          <w:bCs/>
          <w:lang w:val="es-CO"/>
        </w:rPr>
      </w:pPr>
      <w:r w:rsidRPr="00A44E59">
        <w:rPr>
          <w:b/>
          <w:bCs/>
          <w:lang w:val="es-CO"/>
        </w:rPr>
        <w:t> </w:t>
      </w:r>
    </w:p>
    <w:p w:rsidR="00A44E59" w:rsidRPr="00A44E59" w:rsidRDefault="00A44E59" w:rsidP="00A44E59">
      <w:pPr>
        <w:numPr>
          <w:ilvl w:val="0"/>
          <w:numId w:val="20"/>
        </w:numPr>
        <w:tabs>
          <w:tab w:val="num" w:pos="360"/>
        </w:tabs>
        <w:rPr>
          <w:b/>
          <w:bCs/>
          <w:lang w:val="es-CO"/>
        </w:rPr>
      </w:pPr>
      <w:r w:rsidRPr="00A44E59">
        <w:rPr>
          <w:b/>
          <w:bCs/>
          <w:lang w:val="es-CO"/>
        </w:rPr>
        <w:t>Notas al pie</w:t>
      </w:r>
    </w:p>
    <w:p w:rsidR="00F50800" w:rsidRPr="00A44E59" w:rsidRDefault="00F50800" w:rsidP="00A44E59"/>
    <w:sectPr w:rsidR="00F50800" w:rsidRPr="00A44E59" w:rsidSect="008C5242">
      <w:headerReference w:type="default" r:id="rId16"/>
      <w:footerReference w:type="even" r:id="rId17"/>
      <w:footerReference w:type="default" r:id="rId18"/>
      <w:footerReference w:type="first" r:id="rId1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7CA" w:rsidRDefault="000B47CA" w:rsidP="00857C06">
      <w:pPr>
        <w:spacing w:after="0" w:line="240" w:lineRule="auto"/>
      </w:pPr>
      <w:r>
        <w:separator/>
      </w:r>
    </w:p>
    <w:p w:rsidR="000B47CA" w:rsidRDefault="000B47CA"/>
  </w:endnote>
  <w:endnote w:type="continuationSeparator" w:id="0">
    <w:p w:rsidR="000B47CA" w:rsidRDefault="000B47CA" w:rsidP="00857C06">
      <w:pPr>
        <w:spacing w:after="0" w:line="240" w:lineRule="auto"/>
      </w:pPr>
      <w:r>
        <w:continuationSeparator/>
      </w:r>
    </w:p>
    <w:p w:rsidR="000B47CA" w:rsidRDefault="000B4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917818">
    <w:pPr>
      <w:pStyle w:val="Piedepgina"/>
    </w:pPr>
    <w:r>
      <w:rPr>
        <w:noProof/>
      </w:rPr>
      <mc:AlternateContent>
        <mc:Choice Requires="wps">
          <w:drawing>
            <wp:anchor distT="0" distB="0" distL="0" distR="0" simplePos="0" relativeHeight="251659264" behindDoc="0" locked="0" layoutInCell="1" allowOverlap="1" wp14:anchorId="7A462C0C" wp14:editId="35BB8EB4">
              <wp:simplePos x="635" y="635"/>
              <wp:positionH relativeFrom="page">
                <wp:align>center</wp:align>
              </wp:positionH>
              <wp:positionV relativeFrom="page">
                <wp:align>bottom</wp:align>
              </wp:positionV>
              <wp:extent cx="874395" cy="324485"/>
              <wp:effectExtent l="0" t="0" r="1905" b="0"/>
              <wp:wrapNone/>
              <wp:docPr id="1962668993"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917818" w:rsidRPr="00917818" w:rsidRDefault="00917818" w:rsidP="00917818">
                          <w:pPr>
                            <w:spacing w:after="0"/>
                            <w:rPr>
                              <w:rFonts w:ascii="Aptos" w:eastAsia="Aptos" w:hAnsi="Aptos" w:cs="Aptos"/>
                              <w:noProof/>
                              <w:color w:val="000000"/>
                              <w:sz w:val="16"/>
                              <w:szCs w:val="16"/>
                            </w:rPr>
                          </w:pPr>
                          <w:r w:rsidRPr="00917818">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62C0C"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917818" w:rsidRPr="00917818" w:rsidRDefault="00917818" w:rsidP="00917818">
                    <w:pPr>
                      <w:spacing w:after="0"/>
                      <w:rPr>
                        <w:rFonts w:ascii="Aptos" w:eastAsia="Aptos" w:hAnsi="Aptos" w:cs="Aptos"/>
                        <w:noProof/>
                        <w:color w:val="000000"/>
                        <w:sz w:val="16"/>
                        <w:szCs w:val="16"/>
                      </w:rPr>
                    </w:pPr>
                    <w:r w:rsidRPr="00917818">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917818"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2FE268B1" wp14:editId="21DDB29F">
              <wp:simplePos x="1079500" y="10102850"/>
              <wp:positionH relativeFrom="page">
                <wp:align>center</wp:align>
              </wp:positionH>
              <wp:positionV relativeFrom="page">
                <wp:align>bottom</wp:align>
              </wp:positionV>
              <wp:extent cx="874395" cy="324485"/>
              <wp:effectExtent l="0" t="0" r="1905" b="0"/>
              <wp:wrapNone/>
              <wp:docPr id="1227828185"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917818" w:rsidRPr="00917818" w:rsidRDefault="00917818" w:rsidP="00917818">
                          <w:pPr>
                            <w:spacing w:after="0"/>
                            <w:rPr>
                              <w:rFonts w:ascii="Aptos" w:eastAsia="Aptos" w:hAnsi="Aptos" w:cs="Aptos"/>
                              <w:noProof/>
                              <w:color w:val="000000"/>
                              <w:sz w:val="16"/>
                              <w:szCs w:val="16"/>
                            </w:rPr>
                          </w:pPr>
                          <w:r w:rsidRPr="00917818">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268B1"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917818" w:rsidRPr="00917818" w:rsidRDefault="00917818" w:rsidP="00917818">
                    <w:pPr>
                      <w:spacing w:after="0"/>
                      <w:rPr>
                        <w:rFonts w:ascii="Aptos" w:eastAsia="Aptos" w:hAnsi="Aptos" w:cs="Aptos"/>
                        <w:noProof/>
                        <w:color w:val="000000"/>
                        <w:sz w:val="16"/>
                        <w:szCs w:val="16"/>
                      </w:rPr>
                    </w:pPr>
                    <w:r w:rsidRPr="00917818">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917818">
    <w:pPr>
      <w:pStyle w:val="Piedepgina"/>
    </w:pPr>
    <w:r>
      <w:rPr>
        <w:noProof/>
      </w:rPr>
      <mc:AlternateContent>
        <mc:Choice Requires="wps">
          <w:drawing>
            <wp:anchor distT="0" distB="0" distL="0" distR="0" simplePos="0" relativeHeight="251658240" behindDoc="0" locked="0" layoutInCell="1" allowOverlap="1" wp14:anchorId="4692B9C8" wp14:editId="4E8C7465">
              <wp:simplePos x="635" y="635"/>
              <wp:positionH relativeFrom="page">
                <wp:align>center</wp:align>
              </wp:positionH>
              <wp:positionV relativeFrom="page">
                <wp:align>bottom</wp:align>
              </wp:positionV>
              <wp:extent cx="874395" cy="324485"/>
              <wp:effectExtent l="0" t="0" r="1905" b="0"/>
              <wp:wrapNone/>
              <wp:docPr id="2073903736"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917818" w:rsidRPr="00917818" w:rsidRDefault="00917818" w:rsidP="00917818">
                          <w:pPr>
                            <w:spacing w:after="0"/>
                            <w:rPr>
                              <w:rFonts w:ascii="Aptos" w:eastAsia="Aptos" w:hAnsi="Aptos" w:cs="Aptos"/>
                              <w:noProof/>
                              <w:color w:val="000000"/>
                              <w:sz w:val="16"/>
                              <w:szCs w:val="16"/>
                            </w:rPr>
                          </w:pPr>
                          <w:r w:rsidRPr="00917818">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2B9C8"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917818" w:rsidRPr="00917818" w:rsidRDefault="00917818" w:rsidP="00917818">
                    <w:pPr>
                      <w:spacing w:after="0"/>
                      <w:rPr>
                        <w:rFonts w:ascii="Aptos" w:eastAsia="Aptos" w:hAnsi="Aptos" w:cs="Aptos"/>
                        <w:noProof/>
                        <w:color w:val="000000"/>
                        <w:sz w:val="16"/>
                        <w:szCs w:val="16"/>
                      </w:rPr>
                    </w:pPr>
                    <w:r w:rsidRPr="00917818">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7CA" w:rsidRDefault="000B47CA" w:rsidP="00857C06">
      <w:pPr>
        <w:spacing w:after="0" w:line="240" w:lineRule="auto"/>
      </w:pPr>
      <w:r>
        <w:separator/>
      </w:r>
    </w:p>
    <w:p w:rsidR="000B47CA" w:rsidRDefault="000B47CA"/>
  </w:footnote>
  <w:footnote w:type="continuationSeparator" w:id="0">
    <w:p w:rsidR="000B47CA" w:rsidRDefault="000B47CA" w:rsidP="00857C06">
      <w:pPr>
        <w:spacing w:after="0" w:line="240" w:lineRule="auto"/>
      </w:pPr>
      <w:r>
        <w:continuationSeparator/>
      </w:r>
    </w:p>
    <w:p w:rsidR="000B47CA" w:rsidRDefault="000B4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78456D" w:rsidRDefault="00532CEF" w:rsidP="0078456D">
    <w:pPr>
      <w:pStyle w:val="CabeceraDatos"/>
    </w:pPr>
    <w:r w:rsidRPr="000C5F11">
      <w:rPr>
        <w:rFonts w:ascii="Arial" w:hAnsi="Arial" w:cs="Arial"/>
        <w:szCs w:val="18"/>
      </w:rPr>
      <w:ptab w:relativeTo="margin" w:alignment="right" w:leader="none"/>
    </w:r>
  </w:p>
  <w:p w:rsidR="00532CEF" w:rsidRDefault="00532C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6BC518F"/>
    <w:multiLevelType w:val="multilevel"/>
    <w:tmpl w:val="4D1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8343BD"/>
    <w:multiLevelType w:val="multilevel"/>
    <w:tmpl w:val="AA56399E"/>
    <w:numStyleLink w:val="Estilo2"/>
  </w:abstractNum>
  <w:abstractNum w:abstractNumId="14"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E02107"/>
    <w:multiLevelType w:val="multilevel"/>
    <w:tmpl w:val="8A7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5976A8"/>
    <w:multiLevelType w:val="multilevel"/>
    <w:tmpl w:val="CB46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1"/>
  </w:num>
  <w:num w:numId="2" w16cid:durableId="1527868670">
    <w:abstractNumId w:val="10"/>
  </w:num>
  <w:num w:numId="3" w16cid:durableId="1559628754">
    <w:abstractNumId w:val="7"/>
  </w:num>
  <w:num w:numId="4" w16cid:durableId="139274789">
    <w:abstractNumId w:val="17"/>
  </w:num>
  <w:num w:numId="5" w16cid:durableId="921720549">
    <w:abstractNumId w:val="15"/>
  </w:num>
  <w:num w:numId="6" w16cid:durableId="1573153308">
    <w:abstractNumId w:val="13"/>
  </w:num>
  <w:num w:numId="7" w16cid:durableId="1461218739">
    <w:abstractNumId w:val="3"/>
  </w:num>
  <w:num w:numId="8" w16cid:durableId="1693872520">
    <w:abstractNumId w:val="22"/>
  </w:num>
  <w:num w:numId="9" w16cid:durableId="249512905">
    <w:abstractNumId w:val="20"/>
  </w:num>
  <w:num w:numId="10" w16cid:durableId="43600847">
    <w:abstractNumId w:val="4"/>
  </w:num>
  <w:num w:numId="11" w16cid:durableId="497812417">
    <w:abstractNumId w:val="9"/>
  </w:num>
  <w:num w:numId="12" w16cid:durableId="1024861577">
    <w:abstractNumId w:val="6"/>
  </w:num>
  <w:num w:numId="13" w16cid:durableId="708333201">
    <w:abstractNumId w:val="5"/>
  </w:num>
  <w:num w:numId="14" w16cid:durableId="933824410">
    <w:abstractNumId w:val="0"/>
  </w:num>
  <w:num w:numId="15" w16cid:durableId="1003699992">
    <w:abstractNumId w:val="16"/>
  </w:num>
  <w:num w:numId="16" w16cid:durableId="1561555195">
    <w:abstractNumId w:val="14"/>
  </w:num>
  <w:num w:numId="17" w16cid:durableId="1607076591">
    <w:abstractNumId w:val="2"/>
  </w:num>
  <w:num w:numId="18" w16cid:durableId="211115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9"/>
  </w:num>
  <w:num w:numId="20" w16cid:durableId="1414086003">
    <w:abstractNumId w:val="12"/>
  </w:num>
  <w:num w:numId="21" w16cid:durableId="806557429">
    <w:abstractNumId w:val="8"/>
  </w:num>
  <w:num w:numId="22" w16cid:durableId="1290746004">
    <w:abstractNumId w:val="21"/>
    <w:lvlOverride w:ilvl="0">
      <w:startOverride w:val="1"/>
    </w:lvlOverride>
  </w:num>
  <w:num w:numId="23" w16cid:durableId="35813832">
    <w:abstractNumId w:val="18"/>
    <w:lvlOverride w:ilvl="0">
      <w:startOverride w:val="2"/>
    </w:lvlOverride>
  </w:num>
  <w:num w:numId="24" w16cid:durableId="35724117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59"/>
    <w:rsid w:val="00003DEE"/>
    <w:rsid w:val="00010C60"/>
    <w:rsid w:val="000204E4"/>
    <w:rsid w:val="00024257"/>
    <w:rsid w:val="00031E20"/>
    <w:rsid w:val="00034D7E"/>
    <w:rsid w:val="000413FC"/>
    <w:rsid w:val="00050AC8"/>
    <w:rsid w:val="00064C61"/>
    <w:rsid w:val="00066F7F"/>
    <w:rsid w:val="00067192"/>
    <w:rsid w:val="00082C98"/>
    <w:rsid w:val="000942F9"/>
    <w:rsid w:val="0009485D"/>
    <w:rsid w:val="000A1870"/>
    <w:rsid w:val="000B15C9"/>
    <w:rsid w:val="000B47CA"/>
    <w:rsid w:val="000C2403"/>
    <w:rsid w:val="000C5F11"/>
    <w:rsid w:val="000C71EC"/>
    <w:rsid w:val="000E7D11"/>
    <w:rsid w:val="000F29AA"/>
    <w:rsid w:val="000F349A"/>
    <w:rsid w:val="001009D0"/>
    <w:rsid w:val="00112947"/>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446C"/>
    <w:rsid w:val="0020207E"/>
    <w:rsid w:val="00207D15"/>
    <w:rsid w:val="00215286"/>
    <w:rsid w:val="00216AF9"/>
    <w:rsid w:val="0021760F"/>
    <w:rsid w:val="00227783"/>
    <w:rsid w:val="002324B1"/>
    <w:rsid w:val="00261EE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43557"/>
    <w:rsid w:val="003527B0"/>
    <w:rsid w:val="003563F1"/>
    <w:rsid w:val="0036794D"/>
    <w:rsid w:val="0038087E"/>
    <w:rsid w:val="00382057"/>
    <w:rsid w:val="003847EB"/>
    <w:rsid w:val="00390237"/>
    <w:rsid w:val="00392505"/>
    <w:rsid w:val="0039260B"/>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A4598"/>
    <w:rsid w:val="004B3AFF"/>
    <w:rsid w:val="004C1812"/>
    <w:rsid w:val="004C33DA"/>
    <w:rsid w:val="004D072C"/>
    <w:rsid w:val="004E22D3"/>
    <w:rsid w:val="004F7F16"/>
    <w:rsid w:val="0050556B"/>
    <w:rsid w:val="00514245"/>
    <w:rsid w:val="0052228D"/>
    <w:rsid w:val="00532CEF"/>
    <w:rsid w:val="005406FA"/>
    <w:rsid w:val="00542851"/>
    <w:rsid w:val="00550D9B"/>
    <w:rsid w:val="00552138"/>
    <w:rsid w:val="00560E8F"/>
    <w:rsid w:val="0056534A"/>
    <w:rsid w:val="005654AA"/>
    <w:rsid w:val="005664C8"/>
    <w:rsid w:val="00577933"/>
    <w:rsid w:val="00581CF2"/>
    <w:rsid w:val="005976F8"/>
    <w:rsid w:val="005B1C00"/>
    <w:rsid w:val="005B4004"/>
    <w:rsid w:val="005B50EF"/>
    <w:rsid w:val="005B7FB7"/>
    <w:rsid w:val="005D33C6"/>
    <w:rsid w:val="005F6C02"/>
    <w:rsid w:val="00602643"/>
    <w:rsid w:val="006174D3"/>
    <w:rsid w:val="0062202D"/>
    <w:rsid w:val="00632322"/>
    <w:rsid w:val="00632775"/>
    <w:rsid w:val="006342DD"/>
    <w:rsid w:val="00644ADA"/>
    <w:rsid w:val="00652CF9"/>
    <w:rsid w:val="0066386E"/>
    <w:rsid w:val="0066538F"/>
    <w:rsid w:val="00665860"/>
    <w:rsid w:val="00666A74"/>
    <w:rsid w:val="0067616A"/>
    <w:rsid w:val="00677046"/>
    <w:rsid w:val="006772F1"/>
    <w:rsid w:val="00680DDB"/>
    <w:rsid w:val="0068688A"/>
    <w:rsid w:val="006948F0"/>
    <w:rsid w:val="006B7A2B"/>
    <w:rsid w:val="006C7D5B"/>
    <w:rsid w:val="006E2BBD"/>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80555"/>
    <w:rsid w:val="0078456D"/>
    <w:rsid w:val="007A7970"/>
    <w:rsid w:val="007D27C9"/>
    <w:rsid w:val="007F01F2"/>
    <w:rsid w:val="007F31B1"/>
    <w:rsid w:val="00806D1F"/>
    <w:rsid w:val="00820F42"/>
    <w:rsid w:val="00822C76"/>
    <w:rsid w:val="008348DA"/>
    <w:rsid w:val="0084045D"/>
    <w:rsid w:val="00844132"/>
    <w:rsid w:val="00851F62"/>
    <w:rsid w:val="00856198"/>
    <w:rsid w:val="00856764"/>
    <w:rsid w:val="00857C06"/>
    <w:rsid w:val="00873D9A"/>
    <w:rsid w:val="008742EE"/>
    <w:rsid w:val="00882D18"/>
    <w:rsid w:val="008849C9"/>
    <w:rsid w:val="00891F25"/>
    <w:rsid w:val="00892749"/>
    <w:rsid w:val="008A38EC"/>
    <w:rsid w:val="008A5220"/>
    <w:rsid w:val="008B7416"/>
    <w:rsid w:val="008C5242"/>
    <w:rsid w:val="008C6592"/>
    <w:rsid w:val="008D0F43"/>
    <w:rsid w:val="008D43FB"/>
    <w:rsid w:val="008E1C9B"/>
    <w:rsid w:val="00903DB1"/>
    <w:rsid w:val="0090411D"/>
    <w:rsid w:val="00917818"/>
    <w:rsid w:val="00922041"/>
    <w:rsid w:val="00925CC4"/>
    <w:rsid w:val="00941530"/>
    <w:rsid w:val="00952BF2"/>
    <w:rsid w:val="00952DB1"/>
    <w:rsid w:val="009624C3"/>
    <w:rsid w:val="009800C7"/>
    <w:rsid w:val="00980D9D"/>
    <w:rsid w:val="00987516"/>
    <w:rsid w:val="009B38E8"/>
    <w:rsid w:val="009C345A"/>
    <w:rsid w:val="009D7220"/>
    <w:rsid w:val="009E4061"/>
    <w:rsid w:val="009F0105"/>
    <w:rsid w:val="009F2565"/>
    <w:rsid w:val="009F3AE1"/>
    <w:rsid w:val="00A1263C"/>
    <w:rsid w:val="00A17F20"/>
    <w:rsid w:val="00A323B4"/>
    <w:rsid w:val="00A44E59"/>
    <w:rsid w:val="00A500E7"/>
    <w:rsid w:val="00A61586"/>
    <w:rsid w:val="00A71A62"/>
    <w:rsid w:val="00A72662"/>
    <w:rsid w:val="00AA4168"/>
    <w:rsid w:val="00AA5A3C"/>
    <w:rsid w:val="00AB0791"/>
    <w:rsid w:val="00AB658A"/>
    <w:rsid w:val="00AB66CE"/>
    <w:rsid w:val="00B14819"/>
    <w:rsid w:val="00B21758"/>
    <w:rsid w:val="00B2417F"/>
    <w:rsid w:val="00B25AC5"/>
    <w:rsid w:val="00B341C8"/>
    <w:rsid w:val="00B423EA"/>
    <w:rsid w:val="00B4427B"/>
    <w:rsid w:val="00B575A4"/>
    <w:rsid w:val="00B712DB"/>
    <w:rsid w:val="00B74DD8"/>
    <w:rsid w:val="00B76C19"/>
    <w:rsid w:val="00B856F7"/>
    <w:rsid w:val="00B978B4"/>
    <w:rsid w:val="00BB16E0"/>
    <w:rsid w:val="00BD015F"/>
    <w:rsid w:val="00BD0E7C"/>
    <w:rsid w:val="00BD1148"/>
    <w:rsid w:val="00BE426A"/>
    <w:rsid w:val="00BF0B12"/>
    <w:rsid w:val="00BF11D5"/>
    <w:rsid w:val="00C06119"/>
    <w:rsid w:val="00C127C1"/>
    <w:rsid w:val="00C17D8A"/>
    <w:rsid w:val="00C2212A"/>
    <w:rsid w:val="00C24B3E"/>
    <w:rsid w:val="00C27B42"/>
    <w:rsid w:val="00C32648"/>
    <w:rsid w:val="00C330C5"/>
    <w:rsid w:val="00C330E3"/>
    <w:rsid w:val="00C3668A"/>
    <w:rsid w:val="00C44AE4"/>
    <w:rsid w:val="00C556BC"/>
    <w:rsid w:val="00C56C7C"/>
    <w:rsid w:val="00C604CB"/>
    <w:rsid w:val="00C901AE"/>
    <w:rsid w:val="00C90772"/>
    <w:rsid w:val="00C93898"/>
    <w:rsid w:val="00C943EC"/>
    <w:rsid w:val="00C94EE6"/>
    <w:rsid w:val="00C96CDC"/>
    <w:rsid w:val="00CB53B1"/>
    <w:rsid w:val="00CC057B"/>
    <w:rsid w:val="00CC4B94"/>
    <w:rsid w:val="00CC6149"/>
    <w:rsid w:val="00CD0A2E"/>
    <w:rsid w:val="00CD4EE9"/>
    <w:rsid w:val="00CD65A2"/>
    <w:rsid w:val="00CF7D11"/>
    <w:rsid w:val="00D0210D"/>
    <w:rsid w:val="00D02335"/>
    <w:rsid w:val="00D0313D"/>
    <w:rsid w:val="00D1528F"/>
    <w:rsid w:val="00D177E3"/>
    <w:rsid w:val="00D25F2B"/>
    <w:rsid w:val="00D34D1F"/>
    <w:rsid w:val="00D45F37"/>
    <w:rsid w:val="00D5356A"/>
    <w:rsid w:val="00D54EDA"/>
    <w:rsid w:val="00D66BE9"/>
    <w:rsid w:val="00D706CF"/>
    <w:rsid w:val="00D73D12"/>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5778C"/>
    <w:rsid w:val="00E732E8"/>
    <w:rsid w:val="00E75CD6"/>
    <w:rsid w:val="00E838DE"/>
    <w:rsid w:val="00E96671"/>
    <w:rsid w:val="00EA5FAF"/>
    <w:rsid w:val="00EC0280"/>
    <w:rsid w:val="00EE146B"/>
    <w:rsid w:val="00EE3820"/>
    <w:rsid w:val="00EF4073"/>
    <w:rsid w:val="00F048C4"/>
    <w:rsid w:val="00F0677C"/>
    <w:rsid w:val="00F1583B"/>
    <w:rsid w:val="00F30621"/>
    <w:rsid w:val="00F33FD0"/>
    <w:rsid w:val="00F34111"/>
    <w:rsid w:val="00F34FA4"/>
    <w:rsid w:val="00F37379"/>
    <w:rsid w:val="00F4088C"/>
    <w:rsid w:val="00F40BD6"/>
    <w:rsid w:val="00F44F0D"/>
    <w:rsid w:val="00F46AB6"/>
    <w:rsid w:val="00F50800"/>
    <w:rsid w:val="00F522CC"/>
    <w:rsid w:val="00F56CE9"/>
    <w:rsid w:val="00F64946"/>
    <w:rsid w:val="00F706B6"/>
    <w:rsid w:val="00F76BE2"/>
    <w:rsid w:val="00F81107"/>
    <w:rsid w:val="00FA0B33"/>
    <w:rsid w:val="00FA7524"/>
    <w:rsid w:val="00FB4514"/>
    <w:rsid w:val="00FB766E"/>
    <w:rsid w:val="00FC3A4C"/>
    <w:rsid w:val="00FC6BEE"/>
    <w:rsid w:val="00FD00BD"/>
    <w:rsid w:val="00FD7B6A"/>
    <w:rsid w:val="00FE3641"/>
    <w:rsid w:val="00FE3B42"/>
    <w:rsid w:val="00FE46AD"/>
    <w:rsid w:val="00FE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9839"/>
  <w15:chartTrackingRefBased/>
  <w15:docId w15:val="{296ACD2A-3360-4275-81B7-25FB009D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2"/>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A44E59"/>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A44E59"/>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A44E59"/>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A44E59"/>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A44E59"/>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A44E59"/>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2"/>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A44E59"/>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A44E59"/>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A44E59"/>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A44E59"/>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A44E59"/>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A44E59"/>
    <w:rPr>
      <w:rFonts w:eastAsiaTheme="majorEastAsia" w:cstheme="majorBidi"/>
      <w:color w:val="3182FF" w:themeColor="text1" w:themeTint="D8"/>
    </w:rPr>
  </w:style>
  <w:style w:type="paragraph" w:styleId="Ttulo">
    <w:name w:val="Title"/>
    <w:basedOn w:val="Normal"/>
    <w:next w:val="Normal"/>
    <w:link w:val="TtuloCar"/>
    <w:uiPriority w:val="10"/>
    <w:rsid w:val="00A4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4E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A44E59"/>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A44E59"/>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A44E59"/>
    <w:pPr>
      <w:spacing w:before="160"/>
      <w:jc w:val="center"/>
    </w:pPr>
    <w:rPr>
      <w:i/>
      <w:iCs/>
      <w:color w:val="4890FF" w:themeColor="text1" w:themeTint="BF"/>
    </w:rPr>
  </w:style>
  <w:style w:type="character" w:customStyle="1" w:styleId="CitaCar">
    <w:name w:val="Cita Car"/>
    <w:basedOn w:val="Fuentedeprrafopredeter"/>
    <w:link w:val="Cita"/>
    <w:uiPriority w:val="29"/>
    <w:rsid w:val="00A44E59"/>
    <w:rPr>
      <w:i/>
      <w:iCs/>
      <w:color w:val="4890FF" w:themeColor="text1" w:themeTint="BF"/>
    </w:rPr>
  </w:style>
  <w:style w:type="character" w:styleId="nfasisintenso">
    <w:name w:val="Intense Emphasis"/>
    <w:basedOn w:val="Fuentedeprrafopredeter"/>
    <w:uiPriority w:val="21"/>
    <w:rsid w:val="00A44E59"/>
    <w:rPr>
      <w:i/>
      <w:iCs/>
      <w:color w:val="52596E" w:themeColor="accent1" w:themeShade="BF"/>
    </w:rPr>
  </w:style>
  <w:style w:type="paragraph" w:styleId="Citadestacada">
    <w:name w:val="Intense Quote"/>
    <w:basedOn w:val="Normal"/>
    <w:next w:val="Normal"/>
    <w:link w:val="CitadestacadaCar"/>
    <w:uiPriority w:val="30"/>
    <w:rsid w:val="00A44E59"/>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A44E59"/>
    <w:rPr>
      <w:i/>
      <w:iCs/>
      <w:color w:val="52596E" w:themeColor="accent1" w:themeShade="BF"/>
    </w:rPr>
  </w:style>
  <w:style w:type="character" w:styleId="Referenciaintensa">
    <w:name w:val="Intense Reference"/>
    <w:basedOn w:val="Fuentedeprrafopredeter"/>
    <w:uiPriority w:val="32"/>
    <w:rsid w:val="00A44E59"/>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ta.org.co/html/vista_de_un_documento.asp?DocumentoID=6157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eta.org.co/html/vista_de_un_articulo.asp?Norma=7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ta.org.co/html/vista_de_un_articulo.asp?Norma=795" TargetMode="External"/><Relationship Id="rId5" Type="http://schemas.openxmlformats.org/officeDocument/2006/relationships/settings" Target="settings.xml"/><Relationship Id="rId15" Type="http://schemas.openxmlformats.org/officeDocument/2006/relationships/hyperlink" Target="https://normograma.dian.gov.co/dian/" TargetMode="External"/><Relationship Id="rId10" Type="http://schemas.openxmlformats.org/officeDocument/2006/relationships/hyperlink" Target="https://www.ceta.org.co/html/vista_de_un_documento.asp?DocumentoID=61576"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ceta.org.co/html/vista_de_un_articulo.asp?Norma=795" TargetMode="External"/><Relationship Id="rId14" Type="http://schemas.openxmlformats.org/officeDocument/2006/relationships/hyperlink" Target="https://www.ceta.org.co/html/vista_de_un_articulo.asp?Norma=795" TargetMode="Externa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4273</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2026-06-11T22:30:00Z</dcterms:created>
  <dcterms:modified xsi:type="dcterms:W3CDTF">2026-06-11T22:30:00Z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7b9d4278,74fbf3c1,492f2bd9</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2026-06-11T22:30:40Z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2bcd9c45-7fe1-412b-bd0f-16bc975a37f5</vt:lpwstr>
  </property>
  <property fmtid="{D5CDD505-2E9C-101B-9397-08002B2CF9AE}" pid="11" name="MSIP_Label_35bcdbf9-7feb-48d4-8a77-96de150ae250_ContentBits">
    <vt:lpwstr>0</vt:lpwstr>
  </property>
</Properties>
</file>