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tblCellMar>
          <w:left w:w="0" w:type="dxa"/>
          <w:right w:w="0" w:type="dxa"/>
        </w:tblCellMar>
        <w:tblLook w:val="04A0" w:firstRow="1" w:lastRow="0" w:firstColumn="1" w:lastColumn="0" w:noHBand="0" w:noVBand="1"/>
      </w:tblPr>
      <w:tblGrid>
        <w:gridCol w:w="8838"/>
      </w:tblGrid>
      <w:tr w:rsidR="00DE589A" w:rsidRPr="00DE589A" w:rsidTr="00DE589A">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DE589A" w:rsidRPr="00DE589A">
              <w:trPr>
                <w:tblCellSpacing w:w="0" w:type="dxa"/>
              </w:trPr>
              <w:tc>
                <w:tcPr>
                  <w:tcW w:w="0" w:type="auto"/>
                  <w:shd w:val="clear" w:color="auto" w:fill="FFFFFF"/>
                  <w:tcMar>
                    <w:top w:w="30" w:type="dxa"/>
                    <w:left w:w="30" w:type="dxa"/>
                    <w:bottom w:w="30" w:type="dxa"/>
                    <w:right w:w="30" w:type="dxa"/>
                  </w:tcMar>
                  <w:vAlign w:val="center"/>
                  <w:hideMark/>
                </w:tcPr>
                <w:p w:rsidR="00DE589A" w:rsidRPr="00DE589A" w:rsidRDefault="00DE589A" w:rsidP="00DE589A">
                  <w:r w:rsidRPr="00DE589A">
                    <w:rPr>
                      <w:b/>
                      <w:bCs/>
                    </w:rPr>
                    <w:t>30-10-2024</w:t>
                  </w:r>
                </w:p>
                <w:p w:rsidR="00DE589A" w:rsidRPr="00DE589A" w:rsidRDefault="00DE589A" w:rsidP="00DE589A">
                  <w:r w:rsidRPr="00DE589A">
                    <w:rPr>
                      <w:b/>
                      <w:bCs/>
                    </w:rPr>
                    <w:t>Consejo Técnico de la Contaduría Pública</w:t>
                  </w:r>
                </w:p>
                <w:p w:rsidR="00DE589A" w:rsidRPr="00DE589A" w:rsidRDefault="00DE589A" w:rsidP="00DE589A">
                  <w:r w:rsidRPr="00DE589A">
                    <w:t> </w:t>
                  </w:r>
                </w:p>
                <w:p w:rsidR="00DE589A" w:rsidRPr="00DE589A" w:rsidRDefault="00DE589A" w:rsidP="00DE589A">
                  <w:r w:rsidRPr="00DE589A">
                    <w:t> </w:t>
                  </w:r>
                </w:p>
                <w:p w:rsidR="00DE589A" w:rsidRPr="00DE589A" w:rsidRDefault="00DE589A" w:rsidP="00DE589A">
                  <w:r w:rsidRPr="00DE589A">
                    <w:t>Bogotá, D.C.,</w:t>
                  </w:r>
                </w:p>
                <w:p w:rsidR="00DE589A" w:rsidRPr="00DE589A" w:rsidRDefault="00DE589A" w:rsidP="00DE589A">
                  <w:r w:rsidRPr="00DE589A">
                    <w:t> </w:t>
                  </w:r>
                </w:p>
                <w:tbl>
                  <w:tblPr>
                    <w:tblW w:w="0" w:type="auto"/>
                    <w:tblCellMar>
                      <w:top w:w="15" w:type="dxa"/>
                      <w:left w:w="15" w:type="dxa"/>
                      <w:bottom w:w="15" w:type="dxa"/>
                      <w:right w:w="15" w:type="dxa"/>
                    </w:tblCellMar>
                    <w:tblLook w:val="04A0" w:firstRow="1" w:lastRow="0" w:firstColumn="1" w:lastColumn="0" w:noHBand="0" w:noVBand="1"/>
                  </w:tblPr>
                  <w:tblGrid>
                    <w:gridCol w:w="2661"/>
                    <w:gridCol w:w="4648"/>
                  </w:tblGrid>
                  <w:tr w:rsidR="00DE589A" w:rsidRPr="00DE589A">
                    <w:tc>
                      <w:tcPr>
                        <w:tcW w:w="2661" w:type="dxa"/>
                        <w:tcBorders>
                          <w:top w:val="nil"/>
                          <w:left w:val="nil"/>
                          <w:bottom w:val="nil"/>
                          <w:right w:val="nil"/>
                        </w:tcBorders>
                        <w:shd w:val="clear" w:color="auto" w:fill="BFBFBF"/>
                        <w:tcMar>
                          <w:top w:w="0" w:type="dxa"/>
                          <w:left w:w="105" w:type="dxa"/>
                          <w:bottom w:w="0" w:type="dxa"/>
                          <w:right w:w="105" w:type="dxa"/>
                        </w:tcMar>
                        <w:hideMark/>
                      </w:tcPr>
                      <w:p w:rsidR="00DE589A" w:rsidRPr="00DE589A" w:rsidRDefault="00DE589A" w:rsidP="00DE589A">
                        <w:r w:rsidRPr="00DE589A">
                          <w:rPr>
                            <w:b/>
                            <w:bCs/>
                          </w:rPr>
                          <w:t>REFERENCIA:</w:t>
                        </w:r>
                      </w:p>
                    </w:tc>
                    <w:tc>
                      <w:tcPr>
                        <w:tcW w:w="4648" w:type="dxa"/>
                        <w:tcBorders>
                          <w:top w:val="nil"/>
                          <w:left w:val="nil"/>
                          <w:bottom w:val="nil"/>
                          <w:right w:val="nil"/>
                        </w:tcBorders>
                        <w:shd w:val="clear" w:color="auto" w:fill="BFBFBF"/>
                        <w:tcMar>
                          <w:top w:w="0" w:type="dxa"/>
                          <w:left w:w="105" w:type="dxa"/>
                          <w:bottom w:w="0" w:type="dxa"/>
                          <w:right w:w="105" w:type="dxa"/>
                        </w:tcMar>
                        <w:hideMark/>
                      </w:tcPr>
                      <w:p w:rsidR="00DE589A" w:rsidRPr="00DE589A" w:rsidRDefault="00DE589A" w:rsidP="00DE589A">
                        <w:r w:rsidRPr="00DE589A">
                          <w:t> </w:t>
                        </w:r>
                      </w:p>
                    </w:tc>
                  </w:tr>
                  <w:tr w:rsidR="00DE589A" w:rsidRPr="00DE589A">
                    <w:tc>
                      <w:tcPr>
                        <w:tcW w:w="2661" w:type="dxa"/>
                        <w:tcBorders>
                          <w:top w:val="nil"/>
                          <w:left w:val="nil"/>
                          <w:bottom w:val="nil"/>
                          <w:right w:val="nil"/>
                        </w:tcBorders>
                        <w:tcMar>
                          <w:top w:w="0" w:type="dxa"/>
                          <w:left w:w="105" w:type="dxa"/>
                          <w:bottom w:w="0" w:type="dxa"/>
                          <w:right w:w="105" w:type="dxa"/>
                        </w:tcMar>
                        <w:hideMark/>
                      </w:tcPr>
                      <w:p w:rsidR="00DE589A" w:rsidRPr="00DE589A" w:rsidRDefault="00DE589A" w:rsidP="00DE589A">
                        <w:r w:rsidRPr="00DE589A">
                          <w:t>No. del Radicado</w:t>
                        </w:r>
                      </w:p>
                    </w:tc>
                    <w:tc>
                      <w:tcPr>
                        <w:tcW w:w="4648" w:type="dxa"/>
                        <w:tcBorders>
                          <w:top w:val="nil"/>
                          <w:left w:val="nil"/>
                          <w:bottom w:val="nil"/>
                          <w:right w:val="nil"/>
                        </w:tcBorders>
                        <w:tcMar>
                          <w:top w:w="0" w:type="dxa"/>
                          <w:left w:w="105" w:type="dxa"/>
                          <w:bottom w:w="0" w:type="dxa"/>
                          <w:right w:w="105" w:type="dxa"/>
                        </w:tcMar>
                        <w:hideMark/>
                      </w:tcPr>
                      <w:p w:rsidR="00DE589A" w:rsidRPr="00DE589A" w:rsidRDefault="00DE589A" w:rsidP="00DE589A">
                        <w:r w:rsidRPr="00DE589A">
                          <w:t>1-2024-037002</w:t>
                        </w:r>
                      </w:p>
                    </w:tc>
                  </w:tr>
                  <w:tr w:rsidR="00DE589A" w:rsidRPr="00DE589A">
                    <w:tc>
                      <w:tcPr>
                        <w:tcW w:w="2661" w:type="dxa"/>
                        <w:tcBorders>
                          <w:top w:val="nil"/>
                          <w:left w:val="nil"/>
                          <w:bottom w:val="nil"/>
                          <w:right w:val="nil"/>
                        </w:tcBorders>
                        <w:tcMar>
                          <w:top w:w="0" w:type="dxa"/>
                          <w:left w:w="105" w:type="dxa"/>
                          <w:bottom w:w="0" w:type="dxa"/>
                          <w:right w:w="105" w:type="dxa"/>
                        </w:tcMar>
                        <w:hideMark/>
                      </w:tcPr>
                      <w:p w:rsidR="00DE589A" w:rsidRPr="00DE589A" w:rsidRDefault="00DE589A" w:rsidP="00DE589A">
                        <w:r w:rsidRPr="00DE589A">
                          <w:t>Fecha de Radicado</w:t>
                        </w:r>
                      </w:p>
                    </w:tc>
                    <w:tc>
                      <w:tcPr>
                        <w:tcW w:w="4648" w:type="dxa"/>
                        <w:tcBorders>
                          <w:top w:val="nil"/>
                          <w:left w:val="nil"/>
                          <w:bottom w:val="nil"/>
                          <w:right w:val="nil"/>
                        </w:tcBorders>
                        <w:tcMar>
                          <w:top w:w="0" w:type="dxa"/>
                          <w:left w:w="105" w:type="dxa"/>
                          <w:bottom w:w="0" w:type="dxa"/>
                          <w:right w:w="105" w:type="dxa"/>
                        </w:tcMar>
                        <w:hideMark/>
                      </w:tcPr>
                      <w:p w:rsidR="00DE589A" w:rsidRPr="00DE589A" w:rsidRDefault="00DE589A" w:rsidP="00DE589A">
                        <w:r w:rsidRPr="00DE589A">
                          <w:t>30 de septiembre de 2024</w:t>
                        </w:r>
                      </w:p>
                    </w:tc>
                  </w:tr>
                  <w:tr w:rsidR="00DE589A" w:rsidRPr="00DE589A">
                    <w:tc>
                      <w:tcPr>
                        <w:tcW w:w="2661" w:type="dxa"/>
                        <w:tcBorders>
                          <w:top w:val="nil"/>
                          <w:left w:val="nil"/>
                          <w:bottom w:val="nil"/>
                          <w:right w:val="nil"/>
                        </w:tcBorders>
                        <w:tcMar>
                          <w:top w:w="0" w:type="dxa"/>
                          <w:left w:w="105" w:type="dxa"/>
                          <w:bottom w:w="0" w:type="dxa"/>
                          <w:right w:w="105" w:type="dxa"/>
                        </w:tcMar>
                        <w:hideMark/>
                      </w:tcPr>
                      <w:p w:rsidR="00DE589A" w:rsidRPr="00DE589A" w:rsidRDefault="00DE589A" w:rsidP="00DE589A">
                        <w:r w:rsidRPr="00DE589A">
                          <w:t>Nº de Radicación CTCP</w:t>
                        </w:r>
                      </w:p>
                    </w:tc>
                    <w:tc>
                      <w:tcPr>
                        <w:tcW w:w="4648" w:type="dxa"/>
                        <w:tcBorders>
                          <w:top w:val="nil"/>
                          <w:left w:val="nil"/>
                          <w:bottom w:val="nil"/>
                          <w:right w:val="nil"/>
                        </w:tcBorders>
                        <w:tcMar>
                          <w:top w:w="0" w:type="dxa"/>
                          <w:left w:w="105" w:type="dxa"/>
                          <w:bottom w:w="0" w:type="dxa"/>
                          <w:right w:w="105" w:type="dxa"/>
                        </w:tcMar>
                        <w:hideMark/>
                      </w:tcPr>
                      <w:p w:rsidR="00DE589A" w:rsidRPr="00DE589A" w:rsidRDefault="00DE589A" w:rsidP="00DE589A">
                        <w:r w:rsidRPr="00DE589A">
                          <w:t>2024-0381</w:t>
                        </w:r>
                      </w:p>
                    </w:tc>
                  </w:tr>
                  <w:tr w:rsidR="00DE589A" w:rsidRPr="00DE589A">
                    <w:tc>
                      <w:tcPr>
                        <w:tcW w:w="2661" w:type="dxa"/>
                        <w:tcBorders>
                          <w:top w:val="nil"/>
                          <w:left w:val="nil"/>
                          <w:bottom w:val="nil"/>
                          <w:right w:val="nil"/>
                        </w:tcBorders>
                        <w:tcMar>
                          <w:top w:w="0" w:type="dxa"/>
                          <w:left w:w="105" w:type="dxa"/>
                          <w:bottom w:w="0" w:type="dxa"/>
                          <w:right w:w="105" w:type="dxa"/>
                        </w:tcMar>
                        <w:hideMark/>
                      </w:tcPr>
                      <w:p w:rsidR="00DE589A" w:rsidRPr="00DE589A" w:rsidRDefault="00DE589A" w:rsidP="00DE589A">
                        <w:r w:rsidRPr="00DE589A">
                          <w:t>Tema</w:t>
                        </w:r>
                      </w:p>
                    </w:tc>
                    <w:tc>
                      <w:tcPr>
                        <w:tcW w:w="4648" w:type="dxa"/>
                        <w:tcBorders>
                          <w:top w:val="nil"/>
                          <w:left w:val="nil"/>
                          <w:bottom w:val="nil"/>
                          <w:right w:val="nil"/>
                        </w:tcBorders>
                        <w:tcMar>
                          <w:top w:w="0" w:type="dxa"/>
                          <w:left w:w="105" w:type="dxa"/>
                          <w:bottom w:w="0" w:type="dxa"/>
                          <w:right w:w="105" w:type="dxa"/>
                        </w:tcMar>
                        <w:hideMark/>
                      </w:tcPr>
                      <w:p w:rsidR="00DE589A" w:rsidRPr="00DE589A" w:rsidRDefault="00DE589A" w:rsidP="00DE589A">
                        <w:r w:rsidRPr="00DE589A">
                          <w:t>Conservación de documentos contables</w:t>
                        </w:r>
                      </w:p>
                    </w:tc>
                  </w:tr>
                </w:tbl>
                <w:p w:rsidR="00DE589A" w:rsidRPr="00DE589A" w:rsidRDefault="00DE589A" w:rsidP="00DE589A">
                  <w:r w:rsidRPr="00DE589A">
                    <w:t> </w:t>
                  </w:r>
                </w:p>
                <w:p w:rsidR="00DE589A" w:rsidRPr="00DE589A" w:rsidRDefault="00DE589A" w:rsidP="00DE589A">
                  <w:r w:rsidRPr="00DE589A">
                    <w:t> </w:t>
                  </w:r>
                </w:p>
                <w:p w:rsidR="00DE589A" w:rsidRPr="00DE589A" w:rsidRDefault="00DE589A" w:rsidP="00DE589A">
                  <w:r w:rsidRPr="00DE589A">
                    <w:rPr>
                      <w:b/>
                      <w:bCs/>
                    </w:rPr>
                    <w:t>CONSULTA (TEXTUAL)</w:t>
                  </w:r>
                </w:p>
                <w:p w:rsidR="00DE589A" w:rsidRPr="00DE589A" w:rsidRDefault="00DE589A" w:rsidP="00DE589A">
                  <w:r w:rsidRPr="00DE589A">
                    <w:t> </w:t>
                  </w:r>
                </w:p>
                <w:p w:rsidR="00DE589A" w:rsidRPr="00DE589A" w:rsidRDefault="00DE589A" w:rsidP="00DE589A">
                  <w:r w:rsidRPr="00DE589A">
                    <w:rPr>
                      <w:i/>
                      <w:iCs/>
                    </w:rPr>
                    <w:t>“(…)</w:t>
                  </w:r>
                </w:p>
                <w:p w:rsidR="00DE589A" w:rsidRPr="00DE589A" w:rsidRDefault="00DE589A" w:rsidP="00DE589A">
                  <w:r w:rsidRPr="00DE589A">
                    <w:rPr>
                      <w:i/>
                      <w:iCs/>
                    </w:rPr>
                    <w:t>Nos dirigimos a Ustedes con el fin de solicitarles comedidamente, nos puedan brindar más información en relación con la conservación de la información contable, la inquietud que tenemos es si actualmente existe alguna normatividad que obligue a las empresas a mantener información contable archivada de manera física, o es posible mantenerla solamente de manera digital garantizando su reproducción exacta.</w:t>
                  </w:r>
                </w:p>
                <w:p w:rsidR="00DE589A" w:rsidRPr="00DE589A" w:rsidRDefault="00DE589A" w:rsidP="00DE589A">
                  <w:r w:rsidRPr="00DE589A">
                    <w:t> </w:t>
                  </w:r>
                </w:p>
                <w:p w:rsidR="00DE589A" w:rsidRPr="00DE589A" w:rsidRDefault="00DE589A" w:rsidP="00DE589A">
                  <w:r w:rsidRPr="00DE589A">
                    <w:rPr>
                      <w:i/>
                      <w:iCs/>
                    </w:rPr>
                    <w:t>(…)”</w:t>
                  </w:r>
                </w:p>
                <w:p w:rsidR="00DE589A" w:rsidRPr="00DE589A" w:rsidRDefault="00DE589A" w:rsidP="00DE589A">
                  <w:r w:rsidRPr="00DE589A">
                    <w:t> </w:t>
                  </w:r>
                </w:p>
                <w:p w:rsidR="00DE589A" w:rsidRPr="00DE589A" w:rsidRDefault="00DE589A" w:rsidP="00DE589A">
                  <w:r w:rsidRPr="00DE589A">
                    <w:rPr>
                      <w:b/>
                      <w:bCs/>
                    </w:rPr>
                    <w:t>RESUMEN:</w:t>
                  </w:r>
                </w:p>
                <w:p w:rsidR="00DE589A" w:rsidRPr="00DE589A" w:rsidRDefault="00DE589A" w:rsidP="00DE589A">
                  <w:r w:rsidRPr="00DE589A">
                    <w:t> </w:t>
                  </w:r>
                </w:p>
                <w:p w:rsidR="00DE589A" w:rsidRPr="00DE589A" w:rsidRDefault="00DE589A" w:rsidP="00DE589A">
                  <w:r w:rsidRPr="00DE589A">
                    <w:t>(...) Los libros y papeles del comerciante deberán ser conservados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w:t>
                  </w:r>
                </w:p>
                <w:p w:rsidR="00DE589A" w:rsidRPr="00DE589A" w:rsidRDefault="00DE589A" w:rsidP="00DE589A">
                  <w:r w:rsidRPr="00DE589A">
                    <w:t> </w:t>
                  </w:r>
                </w:p>
                <w:p w:rsidR="00DE589A" w:rsidRPr="00DE589A" w:rsidRDefault="00DE589A" w:rsidP="00DE589A">
                  <w:r w:rsidRPr="00DE589A">
                    <w:rPr>
                      <w:b/>
                      <w:bCs/>
                    </w:rPr>
                    <w:t>CONSIDERACIONES Y CONCEPTO</w:t>
                  </w:r>
                </w:p>
                <w:p w:rsidR="00DE589A" w:rsidRPr="00DE589A" w:rsidRDefault="00DE589A" w:rsidP="00DE589A">
                  <w:r w:rsidRPr="00DE589A">
                    <w:t> </w:t>
                  </w:r>
                </w:p>
                <w:p w:rsidR="00DE589A" w:rsidRPr="00DE589A" w:rsidRDefault="00DE589A" w:rsidP="00DE589A">
                  <w:r w:rsidRPr="00DE589A">
                    <w:t>El Consejo Técnico de la Contaduría Pública (CTCP), en su calidad de organismo permanente de normalización técnica de Normas de Contabilidad, Información Financiera y Aseguramiento de la Información, adscrito al Ministerio de Comercio, Industria y Turismo, y conforme a las disposiciones legales vigentes, principalmente las contempladas en la Ley 43 de 1990, la Ley 1314 de 2009 y los decretos que las desarrollan, procede a dar respuesta a la consulta de manera general, sin pretender resolver casos particulares, en los siguientes términos:</w:t>
                  </w:r>
                </w:p>
                <w:p w:rsidR="00DE589A" w:rsidRPr="00DE589A" w:rsidRDefault="00DE589A" w:rsidP="00DE589A">
                  <w:r w:rsidRPr="00DE589A">
                    <w:t> </w:t>
                  </w:r>
                </w:p>
                <w:p w:rsidR="00DE589A" w:rsidRPr="00DE589A" w:rsidRDefault="00DE589A" w:rsidP="00DE589A">
                  <w:r w:rsidRPr="00DE589A">
                    <w:t>Acerca de la conservación de documentos de orden contable, este Consejo ha emitido varios conceptos, los cuales relacionamos a continuación:</w:t>
                  </w:r>
                </w:p>
                <w:p w:rsidR="00DE589A" w:rsidRPr="00DE589A" w:rsidRDefault="00DE589A" w:rsidP="00DE589A">
                  <w:r w:rsidRPr="00DE589A">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159"/>
                    <w:gridCol w:w="3735"/>
                    <w:gridCol w:w="1273"/>
                  </w:tblGrid>
                  <w:tr w:rsidR="00DE589A" w:rsidRPr="00DE589A">
                    <w:tc>
                      <w:tcPr>
                        <w:tcW w:w="1159"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rsidR="00DE589A" w:rsidRPr="00DE589A" w:rsidRDefault="00DE589A" w:rsidP="00DE589A">
                        <w:r w:rsidRPr="00DE589A">
                          <w:rPr>
                            <w:b/>
                            <w:bCs/>
                            <w:i/>
                            <w:iCs/>
                          </w:rPr>
                          <w:t>No.</w:t>
                        </w:r>
                      </w:p>
                    </w:tc>
                    <w:tc>
                      <w:tcPr>
                        <w:tcW w:w="3735"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rsidR="00DE589A" w:rsidRPr="00DE589A" w:rsidRDefault="00DE589A" w:rsidP="00DE589A">
                        <w:r w:rsidRPr="00DE589A">
                          <w:rPr>
                            <w:b/>
                            <w:bCs/>
                            <w:i/>
                            <w:iCs/>
                          </w:rPr>
                          <w:t>CONCEPTO</w:t>
                        </w:r>
                      </w:p>
                    </w:tc>
                    <w:tc>
                      <w:tcPr>
                        <w:tcW w:w="1237"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rsidR="00DE589A" w:rsidRPr="00DE589A" w:rsidRDefault="00DE589A" w:rsidP="00DE589A">
                        <w:r w:rsidRPr="00DE589A">
                          <w:rPr>
                            <w:b/>
                            <w:bCs/>
                            <w:i/>
                            <w:iCs/>
                          </w:rPr>
                          <w:t>FECHA</w:t>
                        </w:r>
                      </w:p>
                    </w:tc>
                  </w:tr>
                  <w:tr w:rsidR="00DE589A" w:rsidRPr="00DE589A">
                    <w:tc>
                      <w:tcPr>
                        <w:tcW w:w="11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2022-0116</w:t>
                        </w:r>
                      </w:p>
                    </w:tc>
                    <w:tc>
                      <w:tcPr>
                        <w:tcW w:w="37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Conservación y disposición libros</w:t>
                        </w:r>
                      </w:p>
                    </w:tc>
                    <w:tc>
                      <w:tcPr>
                        <w:tcW w:w="12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4/04/2022</w:t>
                        </w:r>
                      </w:p>
                    </w:tc>
                  </w:tr>
                  <w:tr w:rsidR="00DE589A" w:rsidRPr="00DE589A">
                    <w:tc>
                      <w:tcPr>
                        <w:tcW w:w="11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2022-0336</w:t>
                        </w:r>
                      </w:p>
                    </w:tc>
                    <w:tc>
                      <w:tcPr>
                        <w:tcW w:w="37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Conservación de la información contable</w:t>
                        </w:r>
                      </w:p>
                    </w:tc>
                    <w:tc>
                      <w:tcPr>
                        <w:tcW w:w="12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11/07/2022</w:t>
                        </w:r>
                      </w:p>
                    </w:tc>
                  </w:tr>
                  <w:tr w:rsidR="00DE589A" w:rsidRPr="00DE589A">
                    <w:tc>
                      <w:tcPr>
                        <w:tcW w:w="11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2023-0377</w:t>
                        </w:r>
                      </w:p>
                    </w:tc>
                    <w:tc>
                      <w:tcPr>
                        <w:tcW w:w="37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Conservación de documentos contables</w:t>
                        </w:r>
                      </w:p>
                    </w:tc>
                    <w:tc>
                      <w:tcPr>
                        <w:tcW w:w="12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22/08/2023</w:t>
                        </w:r>
                      </w:p>
                    </w:tc>
                  </w:tr>
                  <w:tr w:rsidR="00DE589A" w:rsidRPr="00DE589A">
                    <w:tc>
                      <w:tcPr>
                        <w:tcW w:w="11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2023-0562</w:t>
                        </w:r>
                      </w:p>
                    </w:tc>
                    <w:tc>
                      <w:tcPr>
                        <w:tcW w:w="37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Conservación de documentos contables</w:t>
                        </w:r>
                      </w:p>
                    </w:tc>
                    <w:tc>
                      <w:tcPr>
                        <w:tcW w:w="12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DE589A" w:rsidRPr="00DE589A" w:rsidRDefault="00DE589A" w:rsidP="00DE589A">
                        <w:r w:rsidRPr="00DE589A">
                          <w:rPr>
                            <w:i/>
                            <w:iCs/>
                          </w:rPr>
                          <w:t>12/12/2023</w:t>
                        </w:r>
                      </w:p>
                    </w:tc>
                  </w:tr>
                </w:tbl>
                <w:p w:rsidR="00DE589A" w:rsidRPr="00DE589A" w:rsidRDefault="00DE589A" w:rsidP="00DE589A">
                  <w:r w:rsidRPr="00DE589A">
                    <w:t> </w:t>
                  </w:r>
                </w:p>
                <w:p w:rsidR="00DE589A" w:rsidRPr="00DE589A" w:rsidRDefault="00DE589A" w:rsidP="00DE589A">
                  <w:r w:rsidRPr="00DE589A">
                    <w:t> </w:t>
                  </w:r>
                </w:p>
                <w:p w:rsidR="00DE589A" w:rsidRPr="00DE589A" w:rsidRDefault="00DE589A" w:rsidP="00DE589A">
                  <w:r w:rsidRPr="00DE589A">
                    <w:t>Para la pregunta especifica, la respuesta se encuentra detallada en el artículo 28 de la Ley 962 de 2005, el cual enuncia:</w:t>
                  </w:r>
                </w:p>
                <w:p w:rsidR="00DE589A" w:rsidRPr="00DE589A" w:rsidRDefault="00DE589A" w:rsidP="00DE589A">
                  <w:r w:rsidRPr="00DE589A">
                    <w:t> </w:t>
                  </w:r>
                </w:p>
                <w:p w:rsidR="00DE589A" w:rsidRPr="00DE589A" w:rsidRDefault="00DE589A" w:rsidP="00DE589A">
                  <w:r w:rsidRPr="00DE589A">
                    <w:rPr>
                      <w:i/>
                      <w:iCs/>
                    </w:rPr>
                    <w:t>“Artículo 28. RACIONALIZACIÓN DE LA CONSERVACIÓN DE LIBROS Y PAPELES DE COMERCIO. Los libros y papeles del comerciante deberán ser conservados por un período de diez (10) años contados a partir de la fecha del último asiento, documento o comprobante, </w:t>
                  </w:r>
                  <w:r w:rsidRPr="00DE589A">
                    <w:rPr>
                      <w:b/>
                      <w:bCs/>
                      <w:i/>
                      <w:iCs/>
                    </w:rPr>
                    <w:t>pudiendo utilizar para el efecto, a elección del comerciante, su conservación en papel o en cualquier medio técnico, magnético o electrónico que garantice su reproducción exacta</w:t>
                  </w:r>
                  <w:r w:rsidRPr="00DE589A">
                    <w:rPr>
                      <w:i/>
                      <w:iCs/>
                    </w:rPr>
                    <w:t>.</w:t>
                  </w:r>
                </w:p>
                <w:p w:rsidR="00DE589A" w:rsidRPr="00DE589A" w:rsidRDefault="00DE589A" w:rsidP="00DE589A">
                  <w:r w:rsidRPr="00DE589A">
                    <w:t> </w:t>
                  </w:r>
                </w:p>
                <w:p w:rsidR="00DE589A" w:rsidRPr="00DE589A" w:rsidRDefault="00DE589A" w:rsidP="00DE589A">
                  <w:r w:rsidRPr="00DE589A">
                    <w:rPr>
                      <w:i/>
                      <w:iCs/>
                    </w:rPr>
                    <w:t>Igual término aplicará en relación con las personas, no comerciantes, que legalmente se encuentren obligadas a conservar esta información.</w:t>
                  </w:r>
                </w:p>
                <w:p w:rsidR="00DE589A" w:rsidRPr="00DE589A" w:rsidRDefault="00DE589A" w:rsidP="00DE589A">
                  <w:r w:rsidRPr="00DE589A">
                    <w:t> </w:t>
                  </w:r>
                </w:p>
                <w:p w:rsidR="00DE589A" w:rsidRPr="00DE589A" w:rsidRDefault="00DE589A" w:rsidP="00DE589A">
                  <w:r w:rsidRPr="00DE589A">
                    <w:rPr>
                      <w:i/>
                      <w:iCs/>
                    </w:rPr>
                    <w:t>Lo anterior sin perjuicio de los términos menores consagrados en normas especiales.” </w:t>
                  </w:r>
                  <w:r w:rsidRPr="00DE589A">
                    <w:t>Destacado fuera de texto.</w:t>
                  </w:r>
                </w:p>
                <w:p w:rsidR="00DE589A" w:rsidRPr="00DE589A" w:rsidRDefault="00DE589A" w:rsidP="00DE589A">
                  <w:r w:rsidRPr="00DE589A">
                    <w:t> </w:t>
                  </w:r>
                </w:p>
                <w:p w:rsidR="00DE589A" w:rsidRPr="00DE589A" w:rsidRDefault="00DE589A" w:rsidP="00DE589A">
                  <w:r w:rsidRPr="00DE589A">
                    <w:t>Por su parte, el artículo 60 del Código de Comercio establece:</w:t>
                  </w:r>
                </w:p>
                <w:p w:rsidR="00DE589A" w:rsidRPr="00DE589A" w:rsidRDefault="00DE589A" w:rsidP="00DE589A">
                  <w:r w:rsidRPr="00DE589A">
                    <w:t> </w:t>
                  </w:r>
                </w:p>
                <w:p w:rsidR="00DE589A" w:rsidRPr="00DE589A" w:rsidRDefault="00DE589A" w:rsidP="00DE589A">
                  <w:r w:rsidRPr="00DE589A">
                    <w:rPr>
                      <w:i/>
                      <w:iCs/>
                    </w:rPr>
                    <w:t>“Artículo 60. Los libros y papeles a que se refiere este Capítulo deberán ser conservados cuando menos por diez años, contados desde el cierre de aquéllos o la fecha del último asiento, documento o comprobante. </w:t>
                  </w:r>
                  <w:r w:rsidRPr="00DE589A">
                    <w:rPr>
                      <w:b/>
                      <w:bCs/>
                      <w:i/>
                      <w:iCs/>
                    </w:rPr>
                    <w:t>Transcurrido este lapso, podrán ser destruidos por el comerciante, siempre que por cualquier medio técnico adecuado garantice su reproducción exacta. </w:t>
                  </w:r>
                  <w:r w:rsidRPr="00DE589A">
                    <w:rPr>
                      <w:i/>
                      <w:iCs/>
                    </w:rPr>
                    <w:t>Además, ante la cámara de comercio donde fueron registrados los libros se verificará la exactitud de la reproducción de la copia, y el secretario de la misma firmará acta en la que anotará los libros y papeles que se destruyeron y el procedimiento utilizado para su reproducción.” (…)</w:t>
                  </w:r>
                  <w:r w:rsidRPr="00DE589A">
                    <w:t> Destacado fuera de texto.</w:t>
                  </w:r>
                </w:p>
                <w:p w:rsidR="00DE589A" w:rsidRPr="00DE589A" w:rsidRDefault="00DE589A" w:rsidP="00DE589A">
                  <w:r w:rsidRPr="00DE589A">
                    <w:t> </w:t>
                  </w:r>
                </w:p>
                <w:p w:rsidR="00DE589A" w:rsidRPr="00DE589A" w:rsidRDefault="00DE589A" w:rsidP="00DE589A">
                  <w:r w:rsidRPr="00DE589A">
                    <w:t>Por lo enunciado, una adecuada interpretación del artículo 28 de la Ley 962 de 2005 debe considerar lo preceptuado en el artículo 60 del Código de Comercio.</w:t>
                  </w:r>
                </w:p>
                <w:p w:rsidR="00DE589A" w:rsidRPr="00DE589A" w:rsidRDefault="00DE589A" w:rsidP="00DE589A">
                  <w:r w:rsidRPr="00DE589A">
                    <w:t> </w:t>
                  </w:r>
                </w:p>
                <w:p w:rsidR="00DE589A" w:rsidRPr="00DE589A" w:rsidRDefault="00DE589A" w:rsidP="00DE589A">
                  <w:r w:rsidRPr="00DE589A">
                    <w:t>En los términos expuestos, se absuelve la consulta, señalando que este organismo se ha basado exclusivamente en la información proporcionada por el peticionario. Los efectos de este concepto se encuentran enunciados en el artículo 28 de la Ley 1437 de 2011.</w:t>
                  </w:r>
                </w:p>
                <w:p w:rsidR="00DE589A" w:rsidRPr="00DE589A" w:rsidRDefault="00DE589A" w:rsidP="00DE589A">
                  <w:r w:rsidRPr="00DE589A">
                    <w:t> </w:t>
                  </w:r>
                </w:p>
                <w:p w:rsidR="00DE589A" w:rsidRPr="00DE589A" w:rsidRDefault="00DE589A" w:rsidP="00DE589A">
                  <w:r w:rsidRPr="00DE589A">
                    <w:t>Cordialmente,</w:t>
                  </w:r>
                </w:p>
                <w:p w:rsidR="00DE589A" w:rsidRPr="00DE589A" w:rsidRDefault="00DE589A" w:rsidP="00DE589A">
                  <w:r w:rsidRPr="00DE589A">
                    <w:t> </w:t>
                  </w:r>
                </w:p>
                <w:p w:rsidR="00DE589A" w:rsidRPr="00DE589A" w:rsidRDefault="00DE589A" w:rsidP="00DE589A">
                  <w:r w:rsidRPr="00DE589A">
                    <w:t> </w:t>
                  </w:r>
                </w:p>
                <w:p w:rsidR="00DE589A" w:rsidRPr="00DE589A" w:rsidRDefault="00DE589A" w:rsidP="00DE589A">
                  <w:r w:rsidRPr="00DE589A">
                    <w:rPr>
                      <w:b/>
                      <w:bCs/>
                    </w:rPr>
                    <w:t>JOHN ALEXANDER ÁLVAREZ DÁVILA</w:t>
                  </w:r>
                </w:p>
                <w:p w:rsidR="00DE589A" w:rsidRPr="00DE589A" w:rsidRDefault="00DE589A" w:rsidP="00DE589A">
                  <w:r w:rsidRPr="00DE589A">
                    <w:t>Consejero – CTCP</w:t>
                  </w:r>
                </w:p>
              </w:tc>
            </w:tr>
          </w:tbl>
          <w:p w:rsidR="00DE589A" w:rsidRPr="00DE589A" w:rsidRDefault="00DE589A" w:rsidP="00DE589A"/>
        </w:tc>
      </w:tr>
    </w:tbl>
    <w:p w:rsidR="00DE589A" w:rsidRPr="00DE589A" w:rsidRDefault="00DE589A" w:rsidP="00DE589A">
      <w:pPr>
        <w:rPr>
          <w:vanish/>
        </w:rPr>
      </w:pPr>
    </w:p>
    <w:tbl>
      <w:tblPr>
        <w:tblW w:w="0" w:type="auto"/>
        <w:tblCellSpacing w:w="0" w:type="dxa"/>
        <w:tblCellMar>
          <w:left w:w="0" w:type="dxa"/>
          <w:right w:w="0" w:type="dxa"/>
        </w:tblCellMar>
        <w:tblLook w:val="04A0" w:firstRow="1" w:lastRow="0" w:firstColumn="1" w:lastColumn="0" w:noHBand="0" w:noVBand="1"/>
      </w:tblPr>
      <w:tblGrid>
        <w:gridCol w:w="120"/>
      </w:tblGrid>
      <w:tr w:rsidR="00DE589A" w:rsidRPr="00DE589A" w:rsidTr="00DE589A">
        <w:trPr>
          <w:trHeight w:val="370"/>
          <w:tblCellSpacing w:w="0" w:type="dxa"/>
        </w:trPr>
        <w:tc>
          <w:tcPr>
            <w:tcW w:w="120" w:type="dxa"/>
            <w:shd w:val="clear" w:color="auto" w:fill="FFFFFF"/>
            <w:hideMark/>
          </w:tcPr>
          <w:p w:rsidR="00DE589A" w:rsidRPr="00DE589A" w:rsidRDefault="00DE589A" w:rsidP="00DE589A">
            <w:r w:rsidRPr="00DE589A">
              <w:rPr>
                <w:noProof/>
              </w:rPr>
              <w:drawing>
                <wp:inline distT="0" distB="0" distL="0" distR="0" wp14:anchorId="656E16ED" wp14:editId="77E100C7">
                  <wp:extent cx="76200" cy="6350"/>
                  <wp:effectExtent l="0" t="0" r="0" b="0"/>
                  <wp:docPr id="8648682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6350"/>
                          </a:xfrm>
                          <a:prstGeom prst="rect">
                            <a:avLst/>
                          </a:prstGeom>
                          <a:noFill/>
                          <a:ln>
                            <a:noFill/>
                          </a:ln>
                        </pic:spPr>
                      </pic:pic>
                    </a:graphicData>
                  </a:graphic>
                </wp:inline>
              </w:drawing>
            </w:r>
          </w:p>
          <w:p w:rsidR="00DE589A" w:rsidRPr="00DE589A" w:rsidRDefault="00DE589A" w:rsidP="00DE589A">
            <w:r w:rsidRPr="00DE589A">
              <w:br/>
            </w:r>
          </w:p>
        </w:tc>
      </w:tr>
    </w:tbl>
    <w:p w:rsidR="00A42653" w:rsidRDefault="00A42653"/>
    <w:sectPr w:rsidR="00A42653">
      <w:footerReference w:type="even" r:id="rId7"/>
      <w:footerReference w:type="default" r:id="rId8"/>
      <w:foot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60BE" w:rsidRDefault="002760BE" w:rsidP="00DE589A">
      <w:pPr>
        <w:spacing w:after="0" w:line="240" w:lineRule="auto"/>
      </w:pPr>
      <w:r>
        <w:separator/>
      </w:r>
    </w:p>
  </w:endnote>
  <w:endnote w:type="continuationSeparator" w:id="0">
    <w:p w:rsidR="002760BE" w:rsidRDefault="002760BE" w:rsidP="00DE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589A" w:rsidRDefault="001742E4">
    <w:pPr>
      <w:pStyle w:val="Piedepgina"/>
    </w:pPr>
    <w:r>
      <w:rPr>
        <w:noProof/>
      </w:rPr>
      <mc:AlternateContent>
        <mc:Choice Requires="wps">
          <w:drawing>
            <wp:anchor distT="0" distB="0" distL="0" distR="0" simplePos="0" relativeHeight="251659264" behindDoc="0" locked="0" layoutInCell="1" allowOverlap="1" wp14:anchorId="0EAEEBCF" wp14:editId="4EA2560D">
              <wp:simplePos x="635" y="635"/>
              <wp:positionH relativeFrom="page">
                <wp:align>center</wp:align>
              </wp:positionH>
              <wp:positionV relativeFrom="page">
                <wp:align>bottom</wp:align>
              </wp:positionV>
              <wp:extent cx="826135" cy="324485"/>
              <wp:effectExtent l="0" t="0" r="12065" b="0"/>
              <wp:wrapNone/>
              <wp:docPr id="307074120"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1742E4" w:rsidRPr="001742E4" w:rsidRDefault="001742E4" w:rsidP="001742E4">
                          <w:pPr>
                            <w:spacing w:after="0"/>
                            <w:rPr>
                              <w:rFonts w:ascii="Calibri" w:eastAsia="Calibri" w:hAnsi="Calibri" w:cs="Calibri"/>
                              <w:noProof/>
                              <w:color w:val="000000"/>
                              <w:sz w:val="16"/>
                              <w:szCs w:val="16"/>
                            </w:rPr>
                          </w:pPr>
                          <w:r w:rsidRPr="001742E4">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EEBCF"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1742E4" w:rsidRPr="001742E4" w:rsidRDefault="001742E4" w:rsidP="001742E4">
                    <w:pPr>
                      <w:spacing w:after="0"/>
                      <w:rPr>
                        <w:rFonts w:ascii="Calibri" w:eastAsia="Calibri" w:hAnsi="Calibri" w:cs="Calibri"/>
                        <w:noProof/>
                        <w:color w:val="000000"/>
                        <w:sz w:val="16"/>
                        <w:szCs w:val="16"/>
                      </w:rPr>
                    </w:pPr>
                    <w:r w:rsidRPr="001742E4">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589A" w:rsidRDefault="001742E4">
    <w:pPr>
      <w:pStyle w:val="Piedepgina"/>
    </w:pPr>
    <w:r>
      <w:rPr>
        <w:noProof/>
      </w:rPr>
      <mc:AlternateContent>
        <mc:Choice Requires="wps">
          <w:drawing>
            <wp:anchor distT="0" distB="0" distL="0" distR="0" simplePos="0" relativeHeight="251660288" behindDoc="0" locked="0" layoutInCell="1" allowOverlap="1" wp14:anchorId="5A53E469" wp14:editId="7E67EEF9">
              <wp:simplePos x="1079500" y="9436100"/>
              <wp:positionH relativeFrom="page">
                <wp:align>center</wp:align>
              </wp:positionH>
              <wp:positionV relativeFrom="page">
                <wp:align>bottom</wp:align>
              </wp:positionV>
              <wp:extent cx="826135" cy="324485"/>
              <wp:effectExtent l="0" t="0" r="12065" b="0"/>
              <wp:wrapNone/>
              <wp:docPr id="1549444226"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1742E4" w:rsidRPr="001742E4" w:rsidRDefault="001742E4" w:rsidP="001742E4">
                          <w:pPr>
                            <w:spacing w:after="0"/>
                            <w:rPr>
                              <w:rFonts w:ascii="Calibri" w:eastAsia="Calibri" w:hAnsi="Calibri" w:cs="Calibri"/>
                              <w:noProof/>
                              <w:color w:val="000000"/>
                              <w:sz w:val="16"/>
                              <w:szCs w:val="16"/>
                            </w:rPr>
                          </w:pPr>
                          <w:r w:rsidRPr="001742E4">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53E469"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1742E4" w:rsidRPr="001742E4" w:rsidRDefault="001742E4" w:rsidP="001742E4">
                    <w:pPr>
                      <w:spacing w:after="0"/>
                      <w:rPr>
                        <w:rFonts w:ascii="Calibri" w:eastAsia="Calibri" w:hAnsi="Calibri" w:cs="Calibri"/>
                        <w:noProof/>
                        <w:color w:val="000000"/>
                        <w:sz w:val="16"/>
                        <w:szCs w:val="16"/>
                      </w:rPr>
                    </w:pPr>
                    <w:r w:rsidRPr="001742E4">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589A" w:rsidRDefault="001742E4">
    <w:pPr>
      <w:pStyle w:val="Piedepgina"/>
    </w:pPr>
    <w:r>
      <w:rPr>
        <w:noProof/>
      </w:rPr>
      <mc:AlternateContent>
        <mc:Choice Requires="wps">
          <w:drawing>
            <wp:anchor distT="0" distB="0" distL="0" distR="0" simplePos="0" relativeHeight="251658240" behindDoc="0" locked="0" layoutInCell="1" allowOverlap="1" wp14:anchorId="567AAC92" wp14:editId="07F67856">
              <wp:simplePos x="635" y="635"/>
              <wp:positionH relativeFrom="page">
                <wp:align>center</wp:align>
              </wp:positionH>
              <wp:positionV relativeFrom="page">
                <wp:align>bottom</wp:align>
              </wp:positionV>
              <wp:extent cx="826135" cy="324485"/>
              <wp:effectExtent l="0" t="0" r="12065" b="0"/>
              <wp:wrapNone/>
              <wp:docPr id="788635013"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1742E4" w:rsidRPr="001742E4" w:rsidRDefault="001742E4" w:rsidP="001742E4">
                          <w:pPr>
                            <w:spacing w:after="0"/>
                            <w:rPr>
                              <w:rFonts w:ascii="Calibri" w:eastAsia="Calibri" w:hAnsi="Calibri" w:cs="Calibri"/>
                              <w:noProof/>
                              <w:color w:val="000000"/>
                              <w:sz w:val="16"/>
                              <w:szCs w:val="16"/>
                            </w:rPr>
                          </w:pPr>
                          <w:r w:rsidRPr="001742E4">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7AAC92"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1742E4" w:rsidRPr="001742E4" w:rsidRDefault="001742E4" w:rsidP="001742E4">
                    <w:pPr>
                      <w:spacing w:after="0"/>
                      <w:rPr>
                        <w:rFonts w:ascii="Calibri" w:eastAsia="Calibri" w:hAnsi="Calibri" w:cs="Calibri"/>
                        <w:noProof/>
                        <w:color w:val="000000"/>
                        <w:sz w:val="16"/>
                        <w:szCs w:val="16"/>
                      </w:rPr>
                    </w:pPr>
                    <w:r w:rsidRPr="001742E4">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60BE" w:rsidRDefault="002760BE" w:rsidP="00DE589A">
      <w:pPr>
        <w:spacing w:after="0" w:line="240" w:lineRule="auto"/>
      </w:pPr>
      <w:r>
        <w:separator/>
      </w:r>
    </w:p>
  </w:footnote>
  <w:footnote w:type="continuationSeparator" w:id="0">
    <w:p w:rsidR="002760BE" w:rsidRDefault="002760BE" w:rsidP="00DE5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9A"/>
    <w:rsid w:val="001742E4"/>
    <w:rsid w:val="002760BE"/>
    <w:rsid w:val="003153D8"/>
    <w:rsid w:val="004600B4"/>
    <w:rsid w:val="004F156A"/>
    <w:rsid w:val="00A42653"/>
    <w:rsid w:val="00D1477F"/>
    <w:rsid w:val="00DE58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6F72"/>
  <w15:chartTrackingRefBased/>
  <w15:docId w15:val="{402B0ED4-CE8D-4109-9BDB-86FB62C1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E58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385875">
      <w:bodyDiv w:val="1"/>
      <w:marLeft w:val="0"/>
      <w:marRight w:val="0"/>
      <w:marTop w:val="0"/>
      <w:marBottom w:val="0"/>
      <w:divBdr>
        <w:top w:val="none" w:sz="0" w:space="0" w:color="auto"/>
        <w:left w:val="none" w:sz="0" w:space="0" w:color="auto"/>
        <w:bottom w:val="none" w:sz="0" w:space="0" w:color="auto"/>
        <w:right w:val="none" w:sz="0" w:space="0" w:color="auto"/>
      </w:divBdr>
    </w:div>
    <w:div w:id="202181274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626</Words>
  <Characters>3447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2025-02-12T23:48:00Z</dcterms:created>
  <dcterms:modified xsi:type="dcterms:W3CDTF">2025-02-12T23:48:00Z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2f019d85,124d9448,5c5aa482</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2025-02-12T23:48:41Z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d9095418-b1ba-4560-8d31-9785620e8816</vt:lpwstr>
  </property>
  <property fmtid="{D5CDD505-2E9C-101B-9397-08002B2CF9AE}" pid="11" name="MSIP_Label_dbe97c7a-fc10-4cc2-b72a-e7346a5f0737_ContentBits">
    <vt:lpwstr>0</vt:lpwstr>
  </property>
</Properties>
</file>