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088" w:rsidRPr="00A72088" w:rsidRDefault="00A72088" w:rsidP="00A72088">
      <w:pPr>
        <w:rPr>
          <w:lang w:val="es-CO"/>
        </w:rPr>
      </w:pPr>
      <w:r w:rsidRPr="00A72088">
        <w:rPr>
          <w:b/>
          <w:bCs/>
          <w:lang w:val="es-CO"/>
        </w:rPr>
        <w:t>Concepto 0933</w:t>
      </w:r>
    </w:p>
    <w:p w:rsidR="00A72088" w:rsidRPr="00A72088" w:rsidRDefault="00A72088" w:rsidP="00A72088">
      <w:pPr>
        <w:rPr>
          <w:lang w:val="es-CO"/>
        </w:rPr>
      </w:pPr>
      <w:r w:rsidRPr="00A72088">
        <w:rPr>
          <w:b/>
          <w:bCs/>
          <w:lang w:val="es-CO"/>
        </w:rPr>
        <w:t>22-05-2026</w:t>
      </w:r>
    </w:p>
    <w:p w:rsidR="00A72088" w:rsidRPr="00A72088" w:rsidRDefault="00A72088" w:rsidP="00A72088">
      <w:pPr>
        <w:rPr>
          <w:lang w:val="es-CO"/>
        </w:rPr>
      </w:pPr>
      <w:r w:rsidRPr="00A72088">
        <w:rPr>
          <w:b/>
          <w:bCs/>
          <w:lang w:val="es-CO"/>
        </w:rPr>
        <w:t>DIAN</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100202208 - 0933</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Bogotá D.C.,</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b/>
          <w:bCs/>
          <w:lang w:val="es-CO"/>
        </w:rPr>
        <w:t>Ref.:</w:t>
      </w:r>
      <w:r w:rsidRPr="00A72088">
        <w:rPr>
          <w:lang w:val="es-CO"/>
        </w:rPr>
        <w:t> Radicado No. 000285 - 2026DP000064941 del 04/03/2026.</w:t>
      </w:r>
    </w:p>
    <w:p w:rsidR="00A72088" w:rsidRPr="00A72088" w:rsidRDefault="00A72088" w:rsidP="00A72088">
      <w:pPr>
        <w:rPr>
          <w:lang w:val="es-CO"/>
        </w:rPr>
      </w:pPr>
      <w:r w:rsidRPr="00A72088">
        <w:rPr>
          <w:lang w:val="es-CO"/>
        </w:rPr>
        <w:t> </w:t>
      </w:r>
    </w:p>
    <w:tbl>
      <w:tblPr>
        <w:tblW w:w="0" w:type="auto"/>
        <w:tblCellMar>
          <w:top w:w="15" w:type="dxa"/>
          <w:left w:w="15" w:type="dxa"/>
          <w:bottom w:w="15" w:type="dxa"/>
          <w:right w:w="15" w:type="dxa"/>
        </w:tblCellMar>
        <w:tblLook w:val="04A0" w:firstRow="1" w:lastRow="0" w:firstColumn="1" w:lastColumn="0" w:noHBand="0" w:noVBand="1"/>
      </w:tblPr>
      <w:tblGrid>
        <w:gridCol w:w="2026"/>
        <w:gridCol w:w="6478"/>
      </w:tblGrid>
      <w:tr w:rsidR="00A72088" w:rsidRPr="00A72088">
        <w:tc>
          <w:tcPr>
            <w:tcW w:w="2210" w:type="dxa"/>
            <w:tcBorders>
              <w:top w:val="nil"/>
              <w:left w:val="nil"/>
              <w:bottom w:val="nil"/>
              <w:right w:val="nil"/>
            </w:tcBorders>
            <w:tcMar>
              <w:top w:w="0" w:type="dxa"/>
              <w:left w:w="105" w:type="dxa"/>
              <w:bottom w:w="0" w:type="dxa"/>
              <w:right w:w="105" w:type="dxa"/>
            </w:tcMar>
            <w:hideMark/>
          </w:tcPr>
          <w:p w:rsidR="00A72088" w:rsidRPr="00A72088" w:rsidRDefault="00A72088" w:rsidP="00A72088">
            <w:pPr>
              <w:rPr>
                <w:lang w:val="es-CO"/>
              </w:rPr>
            </w:pPr>
            <w:r w:rsidRPr="00A72088">
              <w:rPr>
                <w:b/>
                <w:bCs/>
                <w:lang w:val="es-CO"/>
              </w:rPr>
              <w:t>Tema:</w:t>
            </w:r>
          </w:p>
        </w:tc>
        <w:tc>
          <w:tcPr>
            <w:tcW w:w="8714" w:type="dxa"/>
            <w:tcBorders>
              <w:top w:val="nil"/>
              <w:left w:val="nil"/>
              <w:bottom w:val="nil"/>
              <w:right w:val="nil"/>
            </w:tcBorders>
            <w:tcMar>
              <w:top w:w="0" w:type="dxa"/>
              <w:left w:w="105" w:type="dxa"/>
              <w:bottom w:w="0" w:type="dxa"/>
              <w:right w:w="105" w:type="dxa"/>
            </w:tcMar>
            <w:hideMark/>
          </w:tcPr>
          <w:p w:rsidR="00A72088" w:rsidRPr="00A72088" w:rsidRDefault="00A72088" w:rsidP="00A72088">
            <w:pPr>
              <w:rPr>
                <w:lang w:val="es-CO"/>
              </w:rPr>
            </w:pPr>
            <w:r w:rsidRPr="00A72088">
              <w:rPr>
                <w:lang w:val="es-CO"/>
              </w:rPr>
              <w:t>Gravamen a los movimientos financieros.</w:t>
            </w:r>
          </w:p>
        </w:tc>
      </w:tr>
      <w:tr w:rsidR="00A72088" w:rsidRPr="00A72088">
        <w:tc>
          <w:tcPr>
            <w:tcW w:w="2210" w:type="dxa"/>
            <w:tcBorders>
              <w:top w:val="nil"/>
              <w:left w:val="nil"/>
              <w:bottom w:val="nil"/>
              <w:right w:val="nil"/>
            </w:tcBorders>
            <w:tcMar>
              <w:top w:w="0" w:type="dxa"/>
              <w:left w:w="105" w:type="dxa"/>
              <w:bottom w:w="0" w:type="dxa"/>
              <w:right w:w="105" w:type="dxa"/>
            </w:tcMar>
            <w:hideMark/>
          </w:tcPr>
          <w:p w:rsidR="00A72088" w:rsidRPr="00A72088" w:rsidRDefault="00A72088" w:rsidP="00A72088">
            <w:pPr>
              <w:rPr>
                <w:lang w:val="es-CO"/>
              </w:rPr>
            </w:pPr>
            <w:r w:rsidRPr="00A72088">
              <w:rPr>
                <w:b/>
                <w:bCs/>
                <w:lang w:val="es-CO"/>
              </w:rPr>
              <w:t>Descriptores:</w:t>
            </w:r>
          </w:p>
        </w:tc>
        <w:tc>
          <w:tcPr>
            <w:tcW w:w="8714" w:type="dxa"/>
            <w:tcBorders>
              <w:top w:val="nil"/>
              <w:left w:val="nil"/>
              <w:bottom w:val="nil"/>
              <w:right w:val="nil"/>
            </w:tcBorders>
            <w:tcMar>
              <w:top w:w="0" w:type="dxa"/>
              <w:left w:w="105" w:type="dxa"/>
              <w:bottom w:w="0" w:type="dxa"/>
              <w:right w:w="105" w:type="dxa"/>
            </w:tcMar>
            <w:hideMark/>
          </w:tcPr>
          <w:p w:rsidR="00A72088" w:rsidRPr="00A72088" w:rsidRDefault="00A72088" w:rsidP="00A72088">
            <w:pPr>
              <w:rPr>
                <w:lang w:val="es-CO"/>
              </w:rPr>
            </w:pPr>
            <w:r w:rsidRPr="00A72088">
              <w:rPr>
                <w:lang w:val="es-CO"/>
              </w:rPr>
              <w:t>Hecho generador del GMF.</w:t>
            </w:r>
          </w:p>
        </w:tc>
      </w:tr>
      <w:tr w:rsidR="00A72088" w:rsidRPr="00A72088">
        <w:tc>
          <w:tcPr>
            <w:tcW w:w="2210" w:type="dxa"/>
            <w:tcBorders>
              <w:top w:val="nil"/>
              <w:left w:val="nil"/>
              <w:bottom w:val="nil"/>
              <w:right w:val="nil"/>
            </w:tcBorders>
            <w:tcMar>
              <w:top w:w="0" w:type="dxa"/>
              <w:left w:w="105" w:type="dxa"/>
              <w:bottom w:w="0" w:type="dxa"/>
              <w:right w:w="105" w:type="dxa"/>
            </w:tcMar>
            <w:hideMark/>
          </w:tcPr>
          <w:p w:rsidR="00A72088" w:rsidRPr="00A72088" w:rsidRDefault="00A72088" w:rsidP="00A72088">
            <w:pPr>
              <w:rPr>
                <w:lang w:val="es-CO"/>
              </w:rPr>
            </w:pPr>
            <w:r w:rsidRPr="00A72088">
              <w:rPr>
                <w:b/>
                <w:bCs/>
                <w:lang w:val="es-CO"/>
              </w:rPr>
              <w:t>Fuentes formales:</w:t>
            </w:r>
          </w:p>
        </w:tc>
        <w:tc>
          <w:tcPr>
            <w:tcW w:w="8714" w:type="dxa"/>
            <w:tcBorders>
              <w:top w:val="nil"/>
              <w:left w:val="nil"/>
              <w:bottom w:val="nil"/>
              <w:right w:val="nil"/>
            </w:tcBorders>
            <w:tcMar>
              <w:top w:w="0" w:type="dxa"/>
              <w:left w:w="105" w:type="dxa"/>
              <w:bottom w:w="0" w:type="dxa"/>
              <w:right w:w="105" w:type="dxa"/>
            </w:tcMar>
            <w:hideMark/>
          </w:tcPr>
          <w:p w:rsidR="00A72088" w:rsidRPr="00A72088" w:rsidRDefault="00A72088" w:rsidP="00A72088">
            <w:pPr>
              <w:rPr>
                <w:lang w:val="es-CO"/>
              </w:rPr>
            </w:pPr>
            <w:hyperlink r:id="rId9" w:tooltip="Estatuto Tributario CETA" w:history="1">
              <w:r w:rsidRPr="00A72088">
                <w:rPr>
                  <w:rStyle w:val="Hipervnculo"/>
                  <w:color w:val="auto"/>
                  <w:u w:val="none"/>
                  <w:lang w:val="es-CO"/>
                </w:rPr>
                <w:t>Artículo 871</w:t>
              </w:r>
            </w:hyperlink>
            <w:r w:rsidRPr="00A72088">
              <w:rPr>
                <w:lang w:val="es-CO"/>
              </w:rPr>
              <w:t> del Estatuto Tributario.</w:t>
            </w:r>
          </w:p>
          <w:p w:rsidR="00A72088" w:rsidRPr="00A72088" w:rsidRDefault="00A72088" w:rsidP="00A72088">
            <w:pPr>
              <w:rPr>
                <w:lang w:val="es-CO"/>
              </w:rPr>
            </w:pPr>
            <w:r w:rsidRPr="00A72088">
              <w:rPr>
                <w:lang w:val="es-CO"/>
              </w:rPr>
              <w:t>Sentencia C-114 de 2006 de la Corte Constitucional.</w:t>
            </w:r>
          </w:p>
          <w:p w:rsidR="00A72088" w:rsidRPr="00A72088" w:rsidRDefault="00A72088" w:rsidP="00A72088">
            <w:pPr>
              <w:rPr>
                <w:lang w:val="es-CO"/>
              </w:rPr>
            </w:pPr>
            <w:r w:rsidRPr="00A72088">
              <w:rPr>
                <w:lang w:val="es-CO"/>
              </w:rPr>
              <w:t>Sentencia del 13 de marzo de 2025. Radicación 11001-03-27-000-2024-00038-00 (28927) de la Sección Cuarta de la Sala de lo Contencioso Administrativo del Consejo de Estado.</w:t>
            </w:r>
          </w:p>
        </w:tc>
      </w:tr>
    </w:tbl>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Cordial saludo,</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 Este Despacho es competente para absolver las peticiones de reconsideración de conceptos expedidos por la Subdirección de Normativa y Doctrina</w:t>
      </w:r>
      <w:hyperlink r:id="rId10" w:anchor="cite_note-1" w:history="1">
        <w:r w:rsidRPr="00A72088">
          <w:rPr>
            <w:rStyle w:val="Hipervnculo"/>
            <w:color w:val="auto"/>
            <w:u w:val="none"/>
            <w:vertAlign w:val="superscript"/>
            <w:lang w:val="es-CO"/>
          </w:rPr>
          <w:t>1</w:t>
        </w:r>
      </w:hyperlink>
      <w:r w:rsidRPr="00A72088">
        <w:rPr>
          <w:lang w:val="es-CO"/>
        </w:rPr>
        <w:t>.</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b/>
          <w:bCs/>
          <w:lang w:val="es-CO"/>
        </w:rPr>
        <w:t>A) Solicitud de reconsideración.</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2. Mediante el radicado de la referencia, el peticionario solicitó la reconsideración de la respuesta a la pregunta número 2 del Oficio 20056 del 13 de agosto de 2019, citada en el Concepto 004687 int. 545 del 16 de julio de 2024, en la cual se concluyó lo siguiente:</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 teniendo en cuenta que la sentencia C-114 consagró que </w:t>
      </w:r>
      <w:r w:rsidRPr="00A72088">
        <w:rPr>
          <w:i/>
          <w:iCs/>
          <w:lang w:val="es-CO"/>
        </w:rPr>
        <w:t>“(...) el tributo ya no recae únicamente sobre los movimientos de efectivo o dinerarios, sino que se extiende a todas las operaciones que impliquen, en general disposición de recursos mediante movimientos contables en los que se configure el pago de obligaciones, o el traslado de bienes, recursos o derechos a cualquier título”</w:t>
      </w:r>
      <w:r w:rsidRPr="00A72088">
        <w:rPr>
          <w:lang w:val="es-CO"/>
        </w:rPr>
        <w:t>, y en el contexto de la presente consulta, las transacciones económicas como son los aportes en especie de títulos a un fideicomiso constituyen hechos generadores del Gravamen a los Movimientos Financieros, en la medida que comportan una disposición de recursos efectuada por los usuarios y clientes a través de las entidades vigiladas por la Superintendencia Financiera de Colombia, para la realización de cualquier pago o transferencia a un tercero, susceptibles de ser registradas en cuentas contables o de otro género por la respectiva entidad.”</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3. El peticionario argumenta que la posición de la entidad equipara el traslado formal de derechos sobre bienes a una disposición patrimonial, desconociendo la naturaleza jurídica del contrato de fiducia mercantil y el principio de transparencia fiscal contenido en el </w:t>
      </w:r>
      <w:hyperlink r:id="rId11" w:tooltip="Estatuto Tributario CETA" w:history="1">
        <w:r w:rsidRPr="00A72088">
          <w:rPr>
            <w:rStyle w:val="Hipervnculo"/>
            <w:color w:val="auto"/>
            <w:u w:val="none"/>
            <w:lang w:val="es-CO"/>
          </w:rPr>
          <w:t>artículo 102</w:t>
        </w:r>
      </w:hyperlink>
      <w:r w:rsidRPr="00A72088">
        <w:rPr>
          <w:lang w:val="es-CO"/>
        </w:rPr>
        <w:t> del Estatuto Tributario (ET), en cuanto los patrimonios autónomos son vehículos de administración cuyos efectos económicos y fiscales se atribuyen directamente a los fideicomitentes y/o beneficiarios.</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4. Por lo tanto, en su criterio, cuando el aportante conserva la titularidad del bien mediante los derechos económicos, o si el beneficiario es el mismo fideicomitente, no se produce una disposición de los activos, dado que no se realiza un pago, enajenación, ni transferencia de recursos a un tercero, de manera que el registro contable formal del traslado no constituye el hecho generador del Gravamen a los movimientos financieros (GMF).</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5. Además, trae a colación la jurisprudencia del Consejo de Estado</w:t>
      </w:r>
      <w:hyperlink r:id="rId12" w:anchor="cite_note-2" w:history="1">
        <w:r w:rsidRPr="00A72088">
          <w:rPr>
            <w:rStyle w:val="Hipervnculo"/>
            <w:color w:val="auto"/>
            <w:u w:val="none"/>
            <w:vertAlign w:val="superscript"/>
            <w:lang w:val="es-CO"/>
          </w:rPr>
          <w:t>2</w:t>
        </w:r>
      </w:hyperlink>
      <w:r w:rsidRPr="00A72088">
        <w:rPr>
          <w:lang w:val="es-CO"/>
        </w:rPr>
        <w:t> para argumentar que el principio de transparencia fiscal es aplicable a otros impuestos además del impuesto sobre la renta y complementarios, y que en los contratos de fiducia mercantil la transferencia de la propiedad de los bienes con ocasión de los aportes a patrimonios autónomos no conlleva una efectiva disposición de recursos ni un pago a terceros para efectos fiscales, pues no implica enajenación ni transmisión de la propiedad al ser la fiducia mercantil una figura fiscalmente transparente.</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b/>
          <w:bCs/>
          <w:lang w:val="es-CO"/>
        </w:rPr>
        <w:t>B) El análisis de la solicitud.</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6. El hecho generador del GMF se encuentra contemplado en el </w:t>
      </w:r>
      <w:hyperlink r:id="rId13" w:tooltip="Estatuto Tributario CETA" w:history="1">
        <w:r w:rsidRPr="00A72088">
          <w:rPr>
            <w:rStyle w:val="Hipervnculo"/>
            <w:color w:val="auto"/>
            <w:u w:val="none"/>
            <w:lang w:val="es-CO"/>
          </w:rPr>
          <w:t>artículo 871</w:t>
        </w:r>
      </w:hyperlink>
      <w:r w:rsidRPr="00A72088">
        <w:rPr>
          <w:lang w:val="es-CO"/>
        </w:rPr>
        <w:t> del Estatuto Tributario. En el inciso sexto se precisa que «(…) también constituyen el hecho generador del impuesto (…) los débitos que se efectúen a cuentas contables y de otro género, diferentes a las corrientes, de ahorros o de depósito, para la realización de cualquier pago o transferencia a un tercero».</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7. En la Sentencia C-114 de 2006</w:t>
      </w:r>
      <w:hyperlink r:id="rId14" w:anchor="cite_note-3" w:history="1">
        <w:r w:rsidRPr="00A72088">
          <w:rPr>
            <w:rStyle w:val="Hipervnculo"/>
            <w:color w:val="auto"/>
            <w:u w:val="none"/>
            <w:vertAlign w:val="superscript"/>
            <w:lang w:val="es-CO"/>
          </w:rPr>
          <w:t>3</w:t>
        </w:r>
      </w:hyperlink>
      <w:r w:rsidRPr="00A72088">
        <w:rPr>
          <w:lang w:val="es-CO"/>
        </w:rPr>
        <w:t> la Corte Constitucional señaló que el hecho generador del GMF no puede establecerse a partir de una lectura aislada de los elementos del inciso sexto citado, y además, debe considerar la definición de “transacción financiera” contenida en el parágrafo</w:t>
      </w:r>
      <w:hyperlink r:id="rId15" w:anchor="cite_note-4" w:history="1">
        <w:r w:rsidRPr="00A72088">
          <w:rPr>
            <w:rStyle w:val="Hipervnculo"/>
            <w:color w:val="auto"/>
            <w:u w:val="none"/>
            <w:vertAlign w:val="superscript"/>
            <w:lang w:val="es-CO"/>
          </w:rPr>
          <w:t>4</w:t>
        </w:r>
      </w:hyperlink>
      <w:r w:rsidRPr="00A72088">
        <w:rPr>
          <w:lang w:val="es-CO"/>
        </w:rPr>
        <w:t> del mismo artículo, también modificado por el artículo 45 de la Ley 788 de 2002, según la cual, la disposición de recursos comprende el traslado de bienes, recursos o derechos a cualquier título:</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“Tal como se ha señalado, en el régimen del GFM tal como quedó en la Ley 788 de 2002, el tributo ya no recae únicamente sobre los movimientos de efectivo o dinerarios, sino que se extiende a todas las operaciones que impliquen, en general disposición de recursos mediante movimientos contables en los que se configure el pago de obligaciones, o el traslado de bienes, recursos o derechos a cualquier título.” (énfasis propio)</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8. En todo caso, según la Corte, para que se configure este hecho generador del GMF es necesario tener presente lo siguiente:</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 estima la Corte que, a partir de una lectura integral de las disposiciones que establecen el GMF se puede concluir que en dicho régimen se dispone que (1) todo débito (2) realizado por los agentes retenedores del impuesto (3) sobre una cuenta contable o de cualquier otro género, distinta de las corrientes, de ahorros o de depósito, (4) que implique la disposición de recursos, (5) para la realización de cualquier pago o transferencia a un tercero, da lugar al Gravamen a los Movimientos Financieros.</w:t>
      </w:r>
    </w:p>
    <w:p w:rsidR="00A72088" w:rsidRPr="00A72088" w:rsidRDefault="00A72088" w:rsidP="00A72088">
      <w:pPr>
        <w:rPr>
          <w:lang w:val="es-CO"/>
        </w:rPr>
      </w:pPr>
      <w:r w:rsidRPr="00A72088">
        <w:rPr>
          <w:lang w:val="es-CO"/>
        </w:rPr>
        <w:t>(…)</w:t>
      </w:r>
    </w:p>
    <w:p w:rsidR="00A72088" w:rsidRPr="00A72088" w:rsidRDefault="00A72088" w:rsidP="00A72088">
      <w:pPr>
        <w:rPr>
          <w:lang w:val="es-CO"/>
        </w:rPr>
      </w:pPr>
      <w:r w:rsidRPr="00A72088">
        <w:rPr>
          <w:lang w:val="es-CO"/>
        </w:rPr>
        <w:t>Para la Corte, en la hipótesis prevista en el inciso demandado, el hecho generador del GMF sólo se configura cuando concurran los cinco elementos que se identificaron atrás. (…) De esta manera, si en una operación débito en el sistema financiero, están presentes todos esos elementos, se causa el gravamen y, por el contrario, de faltar uno o varios de ellos, no se configura la hipótesis prevista en la norma.” (énfasis propio)</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9. En consecuencia, aunque en el aporte en especie de acciones o títulos a un fideicomiso se efectúa un traslado de bienes, recursos o derechos, es necesario que el débito contable se lleve a cabo con ocasión de un pago o transferencia a un tercero.</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10. En el contrato de fiducia mercantil el fideicomitente transfiere uno o más bienes al fiduciario para cumplir una finalidad determinada</w:t>
      </w:r>
      <w:hyperlink r:id="rId16" w:anchor="cite_note-5" w:history="1">
        <w:r w:rsidRPr="00A72088">
          <w:rPr>
            <w:rStyle w:val="Hipervnculo"/>
            <w:color w:val="auto"/>
            <w:u w:val="none"/>
            <w:vertAlign w:val="superscript"/>
            <w:lang w:val="es-CO"/>
          </w:rPr>
          <w:t>5</w:t>
        </w:r>
      </w:hyperlink>
      <w:r w:rsidRPr="00A72088">
        <w:rPr>
          <w:lang w:val="es-CO"/>
        </w:rPr>
        <w:t>, a la par que los bienes fideicomitidos forman un patrimonio autónomo, manteniéndose separados de los bienes de la fiduciaria</w:t>
      </w:r>
      <w:hyperlink r:id="rId17" w:anchor="cite_note-6" w:history="1">
        <w:r w:rsidRPr="00A72088">
          <w:rPr>
            <w:rStyle w:val="Hipervnculo"/>
            <w:color w:val="auto"/>
            <w:u w:val="none"/>
            <w:vertAlign w:val="superscript"/>
            <w:lang w:val="es-CO"/>
          </w:rPr>
          <w:t>6</w:t>
        </w:r>
      </w:hyperlink>
      <w:r w:rsidRPr="00A72088">
        <w:rPr>
          <w:lang w:val="es-CO"/>
        </w:rPr>
        <w:t>. No obstante, al finalizar el negocio fiduciario los bienes pasarán al fideicomitente salvo disposición en contrario en el acto de constitución</w:t>
      </w:r>
      <w:hyperlink r:id="rId18" w:anchor="cite_note-7" w:history="1">
        <w:r w:rsidRPr="00A72088">
          <w:rPr>
            <w:rStyle w:val="Hipervnculo"/>
            <w:color w:val="auto"/>
            <w:u w:val="none"/>
            <w:vertAlign w:val="superscript"/>
            <w:lang w:val="es-CO"/>
          </w:rPr>
          <w:t>7</w:t>
        </w:r>
      </w:hyperlink>
      <w:r w:rsidRPr="00A72088">
        <w:rPr>
          <w:lang w:val="es-CO"/>
        </w:rPr>
        <w:t>, siendo ineficaces las disposiciones en las cuales se establezca que el fiduciario adquirirá el dominio de los bienes fideicomitidos</w:t>
      </w:r>
      <w:hyperlink r:id="rId19" w:anchor="cite_note-8" w:history="1">
        <w:r w:rsidRPr="00A72088">
          <w:rPr>
            <w:rStyle w:val="Hipervnculo"/>
            <w:color w:val="auto"/>
            <w:u w:val="none"/>
            <w:vertAlign w:val="superscript"/>
            <w:lang w:val="es-CO"/>
          </w:rPr>
          <w:t>8</w:t>
        </w:r>
      </w:hyperlink>
      <w:r w:rsidRPr="00A72088">
        <w:rPr>
          <w:lang w:val="es-CO"/>
        </w:rPr>
        <w:t>, teniendo el deber este último de transferir los bienes a quien corresponda según el acto de constitución o la ley, al finalizar el negocio fiduciario</w:t>
      </w:r>
      <w:hyperlink r:id="rId20" w:anchor="cite_note-9" w:history="1">
        <w:r w:rsidRPr="00A72088">
          <w:rPr>
            <w:rStyle w:val="Hipervnculo"/>
            <w:color w:val="auto"/>
            <w:u w:val="none"/>
            <w:vertAlign w:val="superscript"/>
            <w:lang w:val="es-CO"/>
          </w:rPr>
          <w:t>9</w:t>
        </w:r>
      </w:hyperlink>
      <w:r w:rsidRPr="00A72088">
        <w:rPr>
          <w:lang w:val="es-CO"/>
        </w:rPr>
        <w:t>.</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11. Sobre el asunto, la Corte Suprema de Justicia</w:t>
      </w:r>
      <w:hyperlink r:id="rId21" w:anchor="cite_note-10" w:history="1">
        <w:r w:rsidRPr="00A72088">
          <w:rPr>
            <w:rStyle w:val="Hipervnculo"/>
            <w:color w:val="auto"/>
            <w:u w:val="none"/>
            <w:vertAlign w:val="superscript"/>
            <w:lang w:val="es-CO"/>
          </w:rPr>
          <w:t>10</w:t>
        </w:r>
      </w:hyperlink>
      <w:r w:rsidRPr="00A72088">
        <w:rPr>
          <w:lang w:val="es-CO"/>
        </w:rPr>
        <w:t> ha resaltado que la transferencia de los bienes fideicomitidos a la fiduciaria no conlleva la transmisión del derecho de propiedad a plenitud, en cuanto su dominio retorna al fideicomitente, e incluso puede considerarse, en determinadas ocasiones, que los bienes fideicomitidos continúan en el patrimonio de este último durante la ejecución del negocio fiduciario.</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12. Por su parte, en la Sentencia Exp. 28927 del 13 de marzo de 2025, la Sección Cuarta de la Sala de lo Contencioso Administrativo del Consejo de Estado</w:t>
      </w:r>
      <w:hyperlink r:id="rId22" w:anchor="cite_note-11" w:history="1">
        <w:r w:rsidRPr="00A72088">
          <w:rPr>
            <w:rStyle w:val="Hipervnculo"/>
            <w:color w:val="auto"/>
            <w:u w:val="none"/>
            <w:vertAlign w:val="superscript"/>
            <w:lang w:val="es-CO"/>
          </w:rPr>
          <w:t>11</w:t>
        </w:r>
      </w:hyperlink>
      <w:r w:rsidRPr="00A72088">
        <w:rPr>
          <w:lang w:val="es-CO"/>
        </w:rPr>
        <w:t> estudió el concepto “enajenación a cualquier título de bienes inmuebles” que había adoptado la DIAN en su doctrina frente a lo previsto en el </w:t>
      </w:r>
      <w:hyperlink r:id="rId23" w:tooltip="Estatuto Tributario CETA" w:history="1">
        <w:r w:rsidRPr="00A72088">
          <w:rPr>
            <w:rStyle w:val="Hipervnculo"/>
            <w:color w:val="auto"/>
            <w:u w:val="none"/>
            <w:lang w:val="es-CO"/>
          </w:rPr>
          <w:t>artículo 519</w:t>
        </w:r>
      </w:hyperlink>
      <w:r w:rsidRPr="00A72088">
        <w:rPr>
          <w:lang w:val="es-CO"/>
        </w:rPr>
        <w:t> del E.T. En esta oportunidad, la Sección Cuarta anuló la doctrina al considerar lo siguiente:</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 en el contrato de fiducia la titularidad material de los bienes permanece en el patrimonio de la persona que transfirió los bienes al patrimonio autónomo, por lo que la propiedad de los bienes no se entrega a las entidades fiduciarias. Además, se ha aclarado que los aportes en especie a los patrimonios autónomos de las entidades fiduciarias no deben considerarse una enajenación.</w:t>
      </w:r>
    </w:p>
    <w:p w:rsidR="00A72088" w:rsidRPr="00A72088" w:rsidRDefault="00A72088" w:rsidP="00A72088">
      <w:pPr>
        <w:rPr>
          <w:lang w:val="es-CO"/>
        </w:rPr>
      </w:pPr>
      <w:r w:rsidRPr="00A72088">
        <w:rPr>
          <w:lang w:val="es-CO"/>
        </w:rPr>
        <w:t>De acuerdo con lo expuesto, el </w:t>
      </w:r>
      <w:hyperlink r:id="rId24" w:tooltip="Estatuto Tributario CETA" w:history="1">
        <w:r w:rsidRPr="00A72088">
          <w:rPr>
            <w:rStyle w:val="Hipervnculo"/>
            <w:color w:val="auto"/>
            <w:u w:val="none"/>
            <w:lang w:val="es-CO"/>
          </w:rPr>
          <w:t>artículo 519</w:t>
        </w:r>
      </w:hyperlink>
      <w:r w:rsidRPr="00A72088">
        <w:rPr>
          <w:lang w:val="es-CO"/>
        </w:rPr>
        <w:t> del Estatuto Tributario establece que le impuesto de timbre se genera cuando existe “enajenación a cualquier título de bienes inmuebles”. Sin embargo, la transferencia de bienes a una entidad fiduciaria no puede considerarse enajenación al no existir una transferencia de la propiedad, por lo que no puede generarse dicho tributo. En todo caso, se aclara que el impuesto de timbre se causará, cuando exista una enajenación real del bien, esto es, si el patrimonio autónomo transfiere un bien a un tercero.”</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13. Nótese que la lógica del Consejo de Estado no depende del </w:t>
      </w:r>
      <w:hyperlink r:id="rId25" w:tooltip="Estatuto Tributario CETA" w:history="1">
        <w:r w:rsidRPr="00A72088">
          <w:rPr>
            <w:rStyle w:val="Hipervnculo"/>
            <w:color w:val="auto"/>
            <w:u w:val="none"/>
            <w:lang w:val="es-CO"/>
          </w:rPr>
          <w:t>artículo 102</w:t>
        </w:r>
      </w:hyperlink>
      <w:r w:rsidRPr="00A72088">
        <w:rPr>
          <w:lang w:val="es-CO"/>
        </w:rPr>
        <w:t> del E.T. sino del concepto de enajenación y la transferencia plena de la propiedad. En efecto, según el Consejo de Estado, el impuesto de timbre no se causa en la enajenación de bienes inmuebles por parte del fideicomitente a la entidad fiduciaria sino, eventualmente, cuando los inmuebles son transferidos del patrimonio autónomo a terceros. Es decir, cuando se da una transferencia definitiva y plena de la propiedad.</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14. En relación con el inciso sexto del </w:t>
      </w:r>
      <w:hyperlink r:id="rId26" w:tooltip="Estatuto Tributario CETA" w:history="1">
        <w:r w:rsidRPr="00A72088">
          <w:rPr>
            <w:rStyle w:val="Hipervnculo"/>
            <w:color w:val="auto"/>
            <w:u w:val="none"/>
            <w:lang w:val="es-CO"/>
          </w:rPr>
          <w:t>artículo 871</w:t>
        </w:r>
      </w:hyperlink>
      <w:r w:rsidRPr="00A72088">
        <w:rPr>
          <w:lang w:val="es-CO"/>
        </w:rPr>
        <w:t> del E.T.</w:t>
      </w:r>
      <w:hyperlink r:id="rId27" w:anchor="cite_note-12" w:history="1">
        <w:r w:rsidRPr="00A72088">
          <w:rPr>
            <w:rStyle w:val="Hipervnculo"/>
            <w:color w:val="auto"/>
            <w:u w:val="none"/>
            <w:vertAlign w:val="superscript"/>
            <w:lang w:val="es-CO"/>
          </w:rPr>
          <w:t>12</w:t>
        </w:r>
      </w:hyperlink>
      <w:r w:rsidRPr="00A72088">
        <w:rPr>
          <w:lang w:val="es-CO"/>
        </w:rPr>
        <w:t> y los elementos que componen dicho hecho generador de acuerdo con la Sentencia C-114 de 2006, son especialmente relevantes para el caso que nos ocupa los numerales 4 y 5 </w:t>
      </w:r>
      <w:hyperlink r:id="rId28" w:anchor="cite_note-13" w:history="1">
        <w:r w:rsidRPr="00A72088">
          <w:rPr>
            <w:rStyle w:val="Hipervnculo"/>
            <w:color w:val="auto"/>
            <w:u w:val="none"/>
            <w:vertAlign w:val="superscript"/>
            <w:lang w:val="es-CO"/>
          </w:rPr>
          <w:t>13</w:t>
        </w:r>
      </w:hyperlink>
      <w:r w:rsidRPr="00A72088">
        <w:rPr>
          <w:lang w:val="es-CO"/>
        </w:rPr>
        <w:t>. De una parte, el numeral 4 hace referencia a la disposición de recursos. Por otra parte, el numeral 5 se refiere a la presencia de un pago o transferencia a un tercero. Nótese como estos dos conceptos previstos para el GMF guardan una estrecha relación con el concepto de enajenación para efectos del impuesto de timbre de acuerdo con la posición del Consejo de Estado expuesta en la Sentencia Exp. 28927 del 13 de marzo de 2025.</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15. Así, en el preciso contexto de los aportes en especie; es decir, aquellos diferentes a dinero, a una sociedad fiduciaria para la constitución de un patrimonio autónomo en desarrollo de un contrato de fiducia mercantil, no se consideran una transferencia para efectos del inciso sexto del </w:t>
      </w:r>
      <w:hyperlink r:id="rId29" w:tooltip="Estatuto Tributario CETA" w:history="1">
        <w:r w:rsidRPr="00A72088">
          <w:rPr>
            <w:rStyle w:val="Hipervnculo"/>
            <w:color w:val="auto"/>
            <w:u w:val="none"/>
            <w:lang w:val="es-CO"/>
          </w:rPr>
          <w:t>artículo 871</w:t>
        </w:r>
      </w:hyperlink>
      <w:r w:rsidRPr="00A72088">
        <w:rPr>
          <w:lang w:val="es-CO"/>
        </w:rPr>
        <w:t> del E.T. en concordancia con la interpretación que hizo la Corte Constitucional de ese artículo en la Sentencia C-114 de 2006.</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16. En consecuencia, el hecho generador del GMF en el caso que se viene analizando se puede configurar si el patrimonio autónomo transfiere esas especies a un tercero diferente del fideicomitente y se presentan los demás elementos señalados en la Sentencia C-114 de 2006 arriba transcritos y los demás elementos esenciales del GMF.</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17. Por último, se precisa que la conclusión expuesta no implica que las reglas sobre el principio de transparencia fiscal del </w:t>
      </w:r>
      <w:hyperlink r:id="rId30" w:tooltip="Estatuto Tributario CETA" w:history="1">
        <w:r w:rsidRPr="00A72088">
          <w:rPr>
            <w:rStyle w:val="Hipervnculo"/>
            <w:color w:val="auto"/>
            <w:u w:val="none"/>
            <w:lang w:val="es-CO"/>
          </w:rPr>
          <w:t>artículo 102</w:t>
        </w:r>
      </w:hyperlink>
      <w:r w:rsidRPr="00A72088">
        <w:rPr>
          <w:lang w:val="es-CO"/>
        </w:rPr>
        <w:t> del ET sean aplicables al GMF, en cuanto la norma enunciada expresamente dispone que estas se deben observar en la determinación del impuesto sobre la renta y complementarios, a la par que, en la Sentencia del Consejo de Estado</w:t>
      </w:r>
      <w:hyperlink r:id="rId31" w:anchor="cite_note-14" w:history="1">
        <w:r w:rsidRPr="00A72088">
          <w:rPr>
            <w:rStyle w:val="Hipervnculo"/>
            <w:color w:val="auto"/>
            <w:u w:val="none"/>
            <w:vertAlign w:val="superscript"/>
            <w:lang w:val="es-CO"/>
          </w:rPr>
          <w:t>14</w:t>
        </w:r>
      </w:hyperlink>
      <w:r w:rsidRPr="00A72088">
        <w:rPr>
          <w:lang w:val="es-CO"/>
        </w:rPr>
        <w:t> previamente citada, no se concluye que dicho principio sea aplicable al GMF.</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b/>
          <w:bCs/>
          <w:lang w:val="es-CO"/>
        </w:rPr>
        <w:t>C) Conclusión y decisión.</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18. Por lo expuesto, se </w:t>
      </w:r>
      <w:r w:rsidRPr="00A72088">
        <w:rPr>
          <w:b/>
          <w:bCs/>
          <w:lang w:val="es-CO"/>
        </w:rPr>
        <w:t>reconsidera </w:t>
      </w:r>
      <w:r w:rsidRPr="00A72088">
        <w:rPr>
          <w:lang w:val="es-CO"/>
        </w:rPr>
        <w:t>la respuesta a la pregunta número 2 del Oficio 20056 del 13 de agosto de 2019, y en su lugar se concluye lo siguiente:</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“16.1. Los aportes en especie de acciones o títulos a una fiduciaria, en virtud de un contrato de fiducia mercantil, no constituyen el hecho generador del GMF previsto en el inciso sexto del </w:t>
      </w:r>
      <w:hyperlink r:id="rId32" w:tooltip="Estatuto Tributario CETA" w:history="1">
        <w:r w:rsidRPr="00A72088">
          <w:rPr>
            <w:rStyle w:val="Hipervnculo"/>
            <w:color w:val="auto"/>
            <w:u w:val="none"/>
            <w:lang w:val="es-CO"/>
          </w:rPr>
          <w:t>artículo 871</w:t>
        </w:r>
      </w:hyperlink>
      <w:r w:rsidRPr="00A72088">
        <w:rPr>
          <w:lang w:val="es-CO"/>
        </w:rPr>
        <w:t> del E.T. en concordancia con lo previsto en la Sentencia C-114 de 2006 de la Corte Constitucional, porque dicha operación no implica un movimiento de cuentas contables, o de otro género, diferentes a las corrientes, de ahorros o de depósito, de una entidad financiera, mediante el cual se lleva a cabo un traslado de bienes, recursos o derechos, para realizar un pago o una transferencia a un tercero.</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16.2. Si el patrimonio autónomo transfiere a un tercero diferente del fideicomitente las especies aportadas se está en presencia de una disposición de recursos para el pago o transferencia de las especies a un tercero por lo que, si se reúnen los demás elementos de que trata la Sentencia C-114 de 2006 de la Corte Constitucional y los demás elementos del tributo, se causará el GMF.”</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19. En los anteriores términos se absuelve su petición y se recuerda que la normativa, jurisprudencia y doctrina en materia tributaria, aduanera y de fiscalización cambiaria, en lo de competencia de esta Entidad, puede consultarse en el normograma DIAN: </w:t>
      </w:r>
      <w:hyperlink r:id="rId33" w:tgtFrame="_blank" w:history="1">
        <w:r w:rsidRPr="00A72088">
          <w:rPr>
            <w:rStyle w:val="Hipervnculo"/>
            <w:color w:val="auto"/>
            <w:u w:val="none"/>
            <w:lang w:val="es-CO"/>
          </w:rPr>
          <w:t>https://normograma.dian.gov.co/dian/</w:t>
        </w:r>
      </w:hyperlink>
      <w:r w:rsidRPr="00A72088">
        <w:rPr>
          <w:lang w:val="es-CO"/>
        </w:rPr>
        <w:t>.</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Atentamente,</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lang w:val="es-CO"/>
        </w:rPr>
        <w:t> </w:t>
      </w:r>
    </w:p>
    <w:p w:rsidR="00A72088" w:rsidRPr="00A72088" w:rsidRDefault="00A72088" w:rsidP="00A72088">
      <w:pPr>
        <w:rPr>
          <w:lang w:val="es-CO"/>
        </w:rPr>
      </w:pPr>
      <w:r w:rsidRPr="00A72088">
        <w:rPr>
          <w:b/>
          <w:bCs/>
          <w:lang w:val="es-CO"/>
        </w:rPr>
        <w:t>GUSTAVO ALFREDO PERALTA FIGUEREDO</w:t>
      </w:r>
    </w:p>
    <w:p w:rsidR="00A72088" w:rsidRPr="00A72088" w:rsidRDefault="00A72088" w:rsidP="00A72088">
      <w:pPr>
        <w:rPr>
          <w:lang w:val="es-CO"/>
        </w:rPr>
      </w:pPr>
      <w:r w:rsidRPr="00A72088">
        <w:rPr>
          <w:lang w:val="es-CO"/>
        </w:rPr>
        <w:t>Director de Gestión Jurídica</w:t>
      </w:r>
    </w:p>
    <w:p w:rsidR="00A72088" w:rsidRPr="00A72088" w:rsidRDefault="00A72088" w:rsidP="00A72088">
      <w:pPr>
        <w:rPr>
          <w:lang w:val="es-CO"/>
        </w:rPr>
      </w:pPr>
      <w:r w:rsidRPr="00A72088">
        <w:rPr>
          <w:lang w:val="es-CO"/>
        </w:rPr>
        <w:t> </w:t>
      </w:r>
    </w:p>
    <w:p w:rsidR="00A72088" w:rsidRPr="00A72088" w:rsidRDefault="00A72088" w:rsidP="00A72088">
      <w:pPr>
        <w:numPr>
          <w:ilvl w:val="0"/>
          <w:numId w:val="20"/>
        </w:numPr>
        <w:rPr>
          <w:b/>
          <w:bCs/>
          <w:lang w:val="es-CO"/>
        </w:rPr>
      </w:pPr>
      <w:r w:rsidRPr="00A72088">
        <w:rPr>
          <w:b/>
          <w:bCs/>
          <w:lang w:val="es-CO"/>
        </w:rPr>
        <w:t>Notas al pie</w:t>
      </w:r>
    </w:p>
    <w:p w:rsidR="00F50800" w:rsidRPr="00A72088" w:rsidRDefault="00F50800" w:rsidP="00A72088"/>
    <w:sectPr w:rsidR="00F50800" w:rsidRPr="00A72088" w:rsidSect="008C5242">
      <w:footerReference w:type="even" r:id="rId34"/>
      <w:footerReference w:type="default" r:id="rId35"/>
      <w:footerReference w:type="first" r:id="rId36"/>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674" w:rsidRDefault="00C97674" w:rsidP="00857C06">
      <w:pPr>
        <w:spacing w:after="0" w:line="240" w:lineRule="auto"/>
      </w:pPr>
      <w:r>
        <w:separator/>
      </w:r>
    </w:p>
    <w:p w:rsidR="00C97674" w:rsidRDefault="00C97674"/>
  </w:endnote>
  <w:endnote w:type="continuationSeparator" w:id="0">
    <w:p w:rsidR="00C97674" w:rsidRDefault="00C97674" w:rsidP="00857C06">
      <w:pPr>
        <w:spacing w:after="0" w:line="240" w:lineRule="auto"/>
      </w:pPr>
      <w:r>
        <w:continuationSeparator/>
      </w:r>
    </w:p>
    <w:p w:rsidR="00C97674" w:rsidRDefault="00C97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B3240F">
    <w:pPr>
      <w:pStyle w:val="Piedepgina"/>
    </w:pPr>
    <w:r>
      <w:rPr>
        <w:noProof/>
      </w:rPr>
      <mc:AlternateContent>
        <mc:Choice Requires="wps">
          <w:drawing>
            <wp:anchor distT="0" distB="0" distL="0" distR="0" simplePos="0" relativeHeight="251659264" behindDoc="0" locked="0" layoutInCell="1" allowOverlap="1" wp14:anchorId="174F4AC9" wp14:editId="1C2C4766">
              <wp:simplePos x="635" y="635"/>
              <wp:positionH relativeFrom="page">
                <wp:align>center</wp:align>
              </wp:positionH>
              <wp:positionV relativeFrom="page">
                <wp:align>bottom</wp:align>
              </wp:positionV>
              <wp:extent cx="874395" cy="324485"/>
              <wp:effectExtent l="0" t="0" r="1905" b="0"/>
              <wp:wrapNone/>
              <wp:docPr id="2087491038" name="Cuadro de texto 5"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B3240F" w:rsidRPr="00B3240F" w:rsidRDefault="00B3240F" w:rsidP="00B3240F">
                          <w:pPr>
                            <w:spacing w:after="0"/>
                            <w:rPr>
                              <w:rFonts w:ascii="Aptos" w:eastAsia="Aptos" w:hAnsi="Aptos" w:cs="Aptos"/>
                              <w:noProof/>
                              <w:color w:val="000000"/>
                              <w:sz w:val="16"/>
                              <w:szCs w:val="16"/>
                            </w:rPr>
                          </w:pPr>
                          <w:r w:rsidRPr="00B3240F">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4F4AC9" id="_x0000_t202" coordsize="21600,21600" o:spt="202" path="m,l,21600r21600,l21600,xe">
              <v:stroke joinstyle="miter"/>
              <v:path gradientshapeok="t" o:connecttype="rect"/>
            </v:shapetype>
            <v:shape id="Cuadro de texto 5" o:spid="_x0000_s1026" type="#_x0000_t202" alt="Documento Público" style="position:absolute;margin-left:0;margin-top:0;width:68.8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" filled="f" stroked="f">
              <v:fill o:detectmouseclick="t"/>
              <v:textbox style="mso-fit-shape-to-text:t" inset="0,0,0,15pt">
                <w:txbxContent>
                  <w:p w:rsidR="00B3240F" w:rsidRPr="00B3240F" w:rsidRDefault="00B3240F" w:rsidP="00B3240F">
                    <w:pPr>
                      <w:spacing w:after="0"/>
                      <w:rPr>
                        <w:rFonts w:ascii="Aptos" w:eastAsia="Aptos" w:hAnsi="Aptos" w:cs="Aptos"/>
                        <w:noProof/>
                        <w:color w:val="000000"/>
                        <w:sz w:val="16"/>
                        <w:szCs w:val="16"/>
                      </w:rPr>
                    </w:pPr>
                    <w:r w:rsidRPr="00B3240F">
                      <w:rPr>
                        <w:rFonts w:ascii="Aptos" w:eastAsia="Aptos" w:hAnsi="Aptos" w:cs="Aptos"/>
                        <w:noProof/>
                        <w:color w:val="000000"/>
                        <w:sz w:val="16"/>
                        <w:szCs w:val="16"/>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CEF" w:rsidRPr="00F522CC" w:rsidRDefault="00B3240F" w:rsidP="00F522CC">
    <w:pPr>
      <w:pStyle w:val="Disclaimer"/>
      <w:framePr w:hSpace="0" w:wrap="auto" w:vAnchor="margin" w:hAnchor="text" w:xAlign="left" w:yAlign="inline"/>
      <w:rPr>
        <w:sz w:val="12"/>
        <w:szCs w:val="12"/>
        <w:lang w:val="es-CO" w:eastAsia="en-US"/>
      </w:rPr>
    </w:pPr>
    <w:r>
      <w:rPr>
        <w:noProof/>
        <w:sz w:val="12"/>
        <w:szCs w:val="12"/>
        <w:lang w:val="es-CO" w:eastAsia="en-US"/>
      </w:rPr>
      <mc:AlternateContent>
        <mc:Choice Requires="wps">
          <w:drawing>
            <wp:anchor distT="0" distB="0" distL="0" distR="0" simplePos="0" relativeHeight="251660288" behindDoc="0" locked="0" layoutInCell="1" allowOverlap="1" wp14:anchorId="3A3E6228" wp14:editId="4BD317DB">
              <wp:simplePos x="1079500" y="10102850"/>
              <wp:positionH relativeFrom="page">
                <wp:align>center</wp:align>
              </wp:positionH>
              <wp:positionV relativeFrom="page">
                <wp:align>bottom</wp:align>
              </wp:positionV>
              <wp:extent cx="874395" cy="324485"/>
              <wp:effectExtent l="0" t="0" r="1905" b="0"/>
              <wp:wrapNone/>
              <wp:docPr id="640783527" name="Cuadro de texto 6"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B3240F" w:rsidRPr="00B3240F" w:rsidRDefault="00B3240F" w:rsidP="00B3240F">
                          <w:pPr>
                            <w:spacing w:after="0"/>
                            <w:rPr>
                              <w:rFonts w:ascii="Aptos" w:eastAsia="Aptos" w:hAnsi="Aptos" w:cs="Aptos"/>
                              <w:noProof/>
                              <w:color w:val="000000"/>
                              <w:sz w:val="16"/>
                              <w:szCs w:val="16"/>
                            </w:rPr>
                          </w:pPr>
                          <w:r w:rsidRPr="00B3240F">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3E6228" id="_x0000_t202" coordsize="21600,21600" o:spt="202" path="m,l,21600r21600,l21600,xe">
              <v:stroke joinstyle="miter"/>
              <v:path gradientshapeok="t" o:connecttype="rect"/>
            </v:shapetype>
            <v:shape id="Cuadro de texto 6" o:spid="_x0000_s1027" type="#_x0000_t202" alt="Documento Público" style="position:absolute;margin-left:0;margin-top:0;width:68.8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CQDg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" filled="f" stroked="f">
              <v:fill o:detectmouseclick="t"/>
              <v:textbox style="mso-fit-shape-to-text:t" inset="0,0,0,15pt">
                <w:txbxContent>
                  <w:p w:rsidR="00B3240F" w:rsidRPr="00B3240F" w:rsidRDefault="00B3240F" w:rsidP="00B3240F">
                    <w:pPr>
                      <w:spacing w:after="0"/>
                      <w:rPr>
                        <w:rFonts w:ascii="Aptos" w:eastAsia="Aptos" w:hAnsi="Aptos" w:cs="Aptos"/>
                        <w:noProof/>
                        <w:color w:val="000000"/>
                        <w:sz w:val="16"/>
                        <w:szCs w:val="16"/>
                      </w:rPr>
                    </w:pPr>
                    <w:r w:rsidRPr="00B3240F">
                      <w:rPr>
                        <w:rFonts w:ascii="Aptos" w:eastAsia="Aptos" w:hAnsi="Aptos" w:cs="Aptos"/>
                        <w:noProof/>
                        <w:color w:val="000000"/>
                        <w:sz w:val="16"/>
                        <w:szCs w:val="16"/>
                      </w:rPr>
                      <w:t>Documento 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B3240F">
    <w:pPr>
      <w:pStyle w:val="Piedepgina"/>
    </w:pPr>
    <w:r>
      <w:rPr>
        <w:noProof/>
      </w:rPr>
      <mc:AlternateContent>
        <mc:Choice Requires="wps">
          <w:drawing>
            <wp:anchor distT="0" distB="0" distL="0" distR="0" simplePos="0" relativeHeight="251658240" behindDoc="0" locked="0" layoutInCell="1" allowOverlap="1" wp14:anchorId="0F90E5E4" wp14:editId="7431D604">
              <wp:simplePos x="635" y="635"/>
              <wp:positionH relativeFrom="page">
                <wp:align>center</wp:align>
              </wp:positionH>
              <wp:positionV relativeFrom="page">
                <wp:align>bottom</wp:align>
              </wp:positionV>
              <wp:extent cx="874395" cy="324485"/>
              <wp:effectExtent l="0" t="0" r="1905" b="0"/>
              <wp:wrapNone/>
              <wp:docPr id="2093330004" name="Cuadro de texto 4"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B3240F" w:rsidRPr="00B3240F" w:rsidRDefault="00B3240F" w:rsidP="00B3240F">
                          <w:pPr>
                            <w:spacing w:after="0"/>
                            <w:rPr>
                              <w:rFonts w:ascii="Aptos" w:eastAsia="Aptos" w:hAnsi="Aptos" w:cs="Aptos"/>
                              <w:noProof/>
                              <w:color w:val="000000"/>
                              <w:sz w:val="16"/>
                              <w:szCs w:val="16"/>
                            </w:rPr>
                          </w:pPr>
                          <w:r w:rsidRPr="00B3240F">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0E5E4" id="_x0000_t202" coordsize="21600,21600" o:spt="202" path="m,l,21600r21600,l21600,xe">
              <v:stroke joinstyle="miter"/>
              <v:path gradientshapeok="t" o:connecttype="rect"/>
            </v:shapetype>
            <v:shape id="Cuadro de texto 4" o:spid="_x0000_s1028" type="#_x0000_t202" alt="Documento Público" style="position:absolute;margin-left:0;margin-top:0;width:68.8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fWDw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" filled="f" stroked="f">
              <v:fill o:detectmouseclick="t"/>
              <v:textbox style="mso-fit-shape-to-text:t" inset="0,0,0,15pt">
                <w:txbxContent>
                  <w:p w:rsidR="00B3240F" w:rsidRPr="00B3240F" w:rsidRDefault="00B3240F" w:rsidP="00B3240F">
                    <w:pPr>
                      <w:spacing w:after="0"/>
                      <w:rPr>
                        <w:rFonts w:ascii="Aptos" w:eastAsia="Aptos" w:hAnsi="Aptos" w:cs="Aptos"/>
                        <w:noProof/>
                        <w:color w:val="000000"/>
                        <w:sz w:val="16"/>
                        <w:szCs w:val="16"/>
                      </w:rPr>
                    </w:pPr>
                    <w:r w:rsidRPr="00B3240F">
                      <w:rPr>
                        <w:rFonts w:ascii="Aptos" w:eastAsia="Aptos" w:hAnsi="Aptos" w:cs="Aptos"/>
                        <w:noProof/>
                        <w:color w:val="000000"/>
                        <w:sz w:val="16"/>
                        <w:szCs w:val="16"/>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674" w:rsidRDefault="00C97674" w:rsidP="00857C06">
      <w:pPr>
        <w:spacing w:after="0" w:line="240" w:lineRule="auto"/>
      </w:pPr>
      <w:r>
        <w:separator/>
      </w:r>
    </w:p>
    <w:p w:rsidR="00C97674" w:rsidRDefault="00C97674"/>
  </w:footnote>
  <w:footnote w:type="continuationSeparator" w:id="0">
    <w:p w:rsidR="00C97674" w:rsidRDefault="00C97674" w:rsidP="00857C06">
      <w:pPr>
        <w:spacing w:after="0" w:line="240" w:lineRule="auto"/>
      </w:pPr>
      <w:r>
        <w:continuationSeparator/>
      </w:r>
    </w:p>
    <w:p w:rsidR="00C97674" w:rsidRDefault="00C976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A89"/>
    <w:multiLevelType w:val="multilevel"/>
    <w:tmpl w:val="88F475AA"/>
    <w:numStyleLink w:val="Estilo3"/>
  </w:abstractNum>
  <w:abstractNum w:abstractNumId="1" w15:restartNumberingAfterBreak="0">
    <w:nsid w:val="1E235FF4"/>
    <w:multiLevelType w:val="multilevel"/>
    <w:tmpl w:val="DCF43B84"/>
    <w:styleLink w:val="ListaTelefonica"/>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F7794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B359F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774034"/>
    <w:multiLevelType w:val="multilevel"/>
    <w:tmpl w:val="88F475AA"/>
    <w:styleLink w:val="Estilo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17382D"/>
    <w:multiLevelType w:val="multilevel"/>
    <w:tmpl w:val="42E497AC"/>
    <w:lvl w:ilvl="0">
      <w:start w:val="1"/>
      <w:numFmt w:val="decimal"/>
      <w:lvlText w:val="%1."/>
      <w:lvlJc w:val="left"/>
      <w:pPr>
        <w:ind w:left="360" w:hanging="360"/>
      </w:pPr>
    </w:lvl>
    <w:lvl w:ilvl="1">
      <w:start w:val="1"/>
      <w:numFmt w:val="decimal"/>
      <w:pStyle w:val="SubttulopginaTelefnica"/>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3A6588"/>
    <w:multiLevelType w:val="hybridMultilevel"/>
    <w:tmpl w:val="AD68F1AA"/>
    <w:lvl w:ilvl="0" w:tplc="B7AE08D0">
      <w:start w:val="1"/>
      <w:numFmt w:val="bullet"/>
      <w:lvlText w:val="•"/>
      <w:lvlJc w:val="left"/>
      <w:pPr>
        <w:tabs>
          <w:tab w:val="num" w:pos="360"/>
        </w:tabs>
        <w:ind w:left="360" w:hanging="360"/>
      </w:pPr>
      <w:rPr>
        <w:rFonts w:ascii="Arial" w:hAnsi="Arial" w:hint="default"/>
      </w:rPr>
    </w:lvl>
    <w:lvl w:ilvl="1" w:tplc="9286B098" w:tentative="1">
      <w:start w:val="1"/>
      <w:numFmt w:val="bullet"/>
      <w:lvlText w:val="•"/>
      <w:lvlJc w:val="left"/>
      <w:pPr>
        <w:tabs>
          <w:tab w:val="num" w:pos="1080"/>
        </w:tabs>
        <w:ind w:left="1080" w:hanging="360"/>
      </w:pPr>
      <w:rPr>
        <w:rFonts w:ascii="Arial" w:hAnsi="Arial" w:hint="default"/>
      </w:rPr>
    </w:lvl>
    <w:lvl w:ilvl="2" w:tplc="504AA8E4" w:tentative="1">
      <w:start w:val="1"/>
      <w:numFmt w:val="bullet"/>
      <w:lvlText w:val="•"/>
      <w:lvlJc w:val="left"/>
      <w:pPr>
        <w:tabs>
          <w:tab w:val="num" w:pos="1800"/>
        </w:tabs>
        <w:ind w:left="1800" w:hanging="360"/>
      </w:pPr>
      <w:rPr>
        <w:rFonts w:ascii="Arial" w:hAnsi="Arial" w:hint="default"/>
      </w:rPr>
    </w:lvl>
    <w:lvl w:ilvl="3" w:tplc="BEF8BEF0" w:tentative="1">
      <w:start w:val="1"/>
      <w:numFmt w:val="bullet"/>
      <w:lvlText w:val="•"/>
      <w:lvlJc w:val="left"/>
      <w:pPr>
        <w:tabs>
          <w:tab w:val="num" w:pos="2520"/>
        </w:tabs>
        <w:ind w:left="2520" w:hanging="360"/>
      </w:pPr>
      <w:rPr>
        <w:rFonts w:ascii="Arial" w:hAnsi="Arial" w:hint="default"/>
      </w:rPr>
    </w:lvl>
    <w:lvl w:ilvl="4" w:tplc="88105A38" w:tentative="1">
      <w:start w:val="1"/>
      <w:numFmt w:val="bullet"/>
      <w:lvlText w:val="•"/>
      <w:lvlJc w:val="left"/>
      <w:pPr>
        <w:tabs>
          <w:tab w:val="num" w:pos="3240"/>
        </w:tabs>
        <w:ind w:left="3240" w:hanging="360"/>
      </w:pPr>
      <w:rPr>
        <w:rFonts w:ascii="Arial" w:hAnsi="Arial" w:hint="default"/>
      </w:rPr>
    </w:lvl>
    <w:lvl w:ilvl="5" w:tplc="746CF436" w:tentative="1">
      <w:start w:val="1"/>
      <w:numFmt w:val="bullet"/>
      <w:lvlText w:val="•"/>
      <w:lvlJc w:val="left"/>
      <w:pPr>
        <w:tabs>
          <w:tab w:val="num" w:pos="3960"/>
        </w:tabs>
        <w:ind w:left="3960" w:hanging="360"/>
      </w:pPr>
      <w:rPr>
        <w:rFonts w:ascii="Arial" w:hAnsi="Arial" w:hint="default"/>
      </w:rPr>
    </w:lvl>
    <w:lvl w:ilvl="6" w:tplc="717E54A2" w:tentative="1">
      <w:start w:val="1"/>
      <w:numFmt w:val="bullet"/>
      <w:lvlText w:val="•"/>
      <w:lvlJc w:val="left"/>
      <w:pPr>
        <w:tabs>
          <w:tab w:val="num" w:pos="4680"/>
        </w:tabs>
        <w:ind w:left="4680" w:hanging="360"/>
      </w:pPr>
      <w:rPr>
        <w:rFonts w:ascii="Arial" w:hAnsi="Arial" w:hint="default"/>
      </w:rPr>
    </w:lvl>
    <w:lvl w:ilvl="7" w:tplc="4E7C6312" w:tentative="1">
      <w:start w:val="1"/>
      <w:numFmt w:val="bullet"/>
      <w:lvlText w:val="•"/>
      <w:lvlJc w:val="left"/>
      <w:pPr>
        <w:tabs>
          <w:tab w:val="num" w:pos="5400"/>
        </w:tabs>
        <w:ind w:left="5400" w:hanging="360"/>
      </w:pPr>
      <w:rPr>
        <w:rFonts w:ascii="Arial" w:hAnsi="Arial" w:hint="default"/>
      </w:rPr>
    </w:lvl>
    <w:lvl w:ilvl="8" w:tplc="2A9E5D5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EDB0BF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215AED"/>
    <w:multiLevelType w:val="multilevel"/>
    <w:tmpl w:val="AA56399E"/>
    <w:styleLink w:val="Estilo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B7C02"/>
    <w:multiLevelType w:val="hybridMultilevel"/>
    <w:tmpl w:val="48C2B00E"/>
    <w:lvl w:ilvl="0" w:tplc="BA0A8BCC">
      <w:start w:val="1"/>
      <w:numFmt w:val="bullet"/>
      <w:lvlText w:val="–"/>
      <w:lvlJc w:val="left"/>
      <w:pPr>
        <w:tabs>
          <w:tab w:val="num" w:pos="720"/>
        </w:tabs>
        <w:ind w:left="720" w:hanging="360"/>
      </w:pPr>
      <w:rPr>
        <w:rFonts w:ascii="Arial" w:hAnsi="Arial" w:hint="default"/>
      </w:rPr>
    </w:lvl>
    <w:lvl w:ilvl="1" w:tplc="A1C22200">
      <w:start w:val="1"/>
      <w:numFmt w:val="bullet"/>
      <w:lvlText w:val="–"/>
      <w:lvlJc w:val="left"/>
      <w:pPr>
        <w:tabs>
          <w:tab w:val="num" w:pos="1440"/>
        </w:tabs>
        <w:ind w:left="1440" w:hanging="360"/>
      </w:pPr>
      <w:rPr>
        <w:rFonts w:ascii="Arial" w:hAnsi="Arial" w:hint="default"/>
      </w:rPr>
    </w:lvl>
    <w:lvl w:ilvl="2" w:tplc="ACB87A38">
      <w:numFmt w:val="bullet"/>
      <w:lvlText w:val="•"/>
      <w:lvlJc w:val="left"/>
      <w:pPr>
        <w:tabs>
          <w:tab w:val="num" w:pos="2160"/>
        </w:tabs>
        <w:ind w:left="2160" w:hanging="360"/>
      </w:pPr>
      <w:rPr>
        <w:rFonts w:ascii="Arial" w:hAnsi="Arial" w:hint="default"/>
      </w:rPr>
    </w:lvl>
    <w:lvl w:ilvl="3" w:tplc="36C0B6F0" w:tentative="1">
      <w:start w:val="1"/>
      <w:numFmt w:val="bullet"/>
      <w:lvlText w:val="–"/>
      <w:lvlJc w:val="left"/>
      <w:pPr>
        <w:tabs>
          <w:tab w:val="num" w:pos="2880"/>
        </w:tabs>
        <w:ind w:left="2880" w:hanging="360"/>
      </w:pPr>
      <w:rPr>
        <w:rFonts w:ascii="Arial" w:hAnsi="Arial" w:hint="default"/>
      </w:rPr>
    </w:lvl>
    <w:lvl w:ilvl="4" w:tplc="C94050D4" w:tentative="1">
      <w:start w:val="1"/>
      <w:numFmt w:val="bullet"/>
      <w:lvlText w:val="–"/>
      <w:lvlJc w:val="left"/>
      <w:pPr>
        <w:tabs>
          <w:tab w:val="num" w:pos="3600"/>
        </w:tabs>
        <w:ind w:left="3600" w:hanging="360"/>
      </w:pPr>
      <w:rPr>
        <w:rFonts w:ascii="Arial" w:hAnsi="Arial" w:hint="default"/>
      </w:rPr>
    </w:lvl>
    <w:lvl w:ilvl="5" w:tplc="51B606E0" w:tentative="1">
      <w:start w:val="1"/>
      <w:numFmt w:val="bullet"/>
      <w:lvlText w:val="–"/>
      <w:lvlJc w:val="left"/>
      <w:pPr>
        <w:tabs>
          <w:tab w:val="num" w:pos="4320"/>
        </w:tabs>
        <w:ind w:left="4320" w:hanging="360"/>
      </w:pPr>
      <w:rPr>
        <w:rFonts w:ascii="Arial" w:hAnsi="Arial" w:hint="default"/>
      </w:rPr>
    </w:lvl>
    <w:lvl w:ilvl="6" w:tplc="406E08F6" w:tentative="1">
      <w:start w:val="1"/>
      <w:numFmt w:val="bullet"/>
      <w:lvlText w:val="–"/>
      <w:lvlJc w:val="left"/>
      <w:pPr>
        <w:tabs>
          <w:tab w:val="num" w:pos="5040"/>
        </w:tabs>
        <w:ind w:left="5040" w:hanging="360"/>
      </w:pPr>
      <w:rPr>
        <w:rFonts w:ascii="Arial" w:hAnsi="Arial" w:hint="default"/>
      </w:rPr>
    </w:lvl>
    <w:lvl w:ilvl="7" w:tplc="36D269F4" w:tentative="1">
      <w:start w:val="1"/>
      <w:numFmt w:val="bullet"/>
      <w:lvlText w:val="–"/>
      <w:lvlJc w:val="left"/>
      <w:pPr>
        <w:tabs>
          <w:tab w:val="num" w:pos="5760"/>
        </w:tabs>
        <w:ind w:left="5760" w:hanging="360"/>
      </w:pPr>
      <w:rPr>
        <w:rFonts w:ascii="Arial" w:hAnsi="Arial" w:hint="default"/>
      </w:rPr>
    </w:lvl>
    <w:lvl w:ilvl="8" w:tplc="46C0C2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D77FA4"/>
    <w:multiLevelType w:val="hybridMultilevel"/>
    <w:tmpl w:val="14B813A6"/>
    <w:lvl w:ilvl="0" w:tplc="46DE39C8">
      <w:start w:val="1"/>
      <w:numFmt w:val="bullet"/>
      <w:lvlText w:val="–"/>
      <w:lvlJc w:val="left"/>
      <w:pPr>
        <w:tabs>
          <w:tab w:val="num" w:pos="720"/>
        </w:tabs>
        <w:ind w:left="720" w:hanging="360"/>
      </w:pPr>
      <w:rPr>
        <w:rFonts w:ascii="Arial" w:hAnsi="Arial" w:hint="default"/>
      </w:rPr>
    </w:lvl>
    <w:lvl w:ilvl="1" w:tplc="2758CFE6">
      <w:start w:val="1"/>
      <w:numFmt w:val="bullet"/>
      <w:lvlText w:val="–"/>
      <w:lvlJc w:val="left"/>
      <w:pPr>
        <w:tabs>
          <w:tab w:val="num" w:pos="1440"/>
        </w:tabs>
        <w:ind w:left="1440" w:hanging="360"/>
      </w:pPr>
      <w:rPr>
        <w:rFonts w:ascii="Arial" w:hAnsi="Arial" w:hint="default"/>
      </w:rPr>
    </w:lvl>
    <w:lvl w:ilvl="2" w:tplc="2C868FCC">
      <w:numFmt w:val="bullet"/>
      <w:lvlText w:val="•"/>
      <w:lvlJc w:val="left"/>
      <w:pPr>
        <w:tabs>
          <w:tab w:val="num" w:pos="2160"/>
        </w:tabs>
        <w:ind w:left="2160" w:hanging="360"/>
      </w:pPr>
      <w:rPr>
        <w:rFonts w:ascii="Arial" w:hAnsi="Arial" w:hint="default"/>
      </w:rPr>
    </w:lvl>
    <w:lvl w:ilvl="3" w:tplc="04765DCA" w:tentative="1">
      <w:start w:val="1"/>
      <w:numFmt w:val="bullet"/>
      <w:lvlText w:val="–"/>
      <w:lvlJc w:val="left"/>
      <w:pPr>
        <w:tabs>
          <w:tab w:val="num" w:pos="2880"/>
        </w:tabs>
        <w:ind w:left="2880" w:hanging="360"/>
      </w:pPr>
      <w:rPr>
        <w:rFonts w:ascii="Arial" w:hAnsi="Arial" w:hint="default"/>
      </w:rPr>
    </w:lvl>
    <w:lvl w:ilvl="4" w:tplc="66CC1B66" w:tentative="1">
      <w:start w:val="1"/>
      <w:numFmt w:val="bullet"/>
      <w:lvlText w:val="–"/>
      <w:lvlJc w:val="left"/>
      <w:pPr>
        <w:tabs>
          <w:tab w:val="num" w:pos="3600"/>
        </w:tabs>
        <w:ind w:left="3600" w:hanging="360"/>
      </w:pPr>
      <w:rPr>
        <w:rFonts w:ascii="Arial" w:hAnsi="Arial" w:hint="default"/>
      </w:rPr>
    </w:lvl>
    <w:lvl w:ilvl="5" w:tplc="5D7CF262" w:tentative="1">
      <w:start w:val="1"/>
      <w:numFmt w:val="bullet"/>
      <w:lvlText w:val="–"/>
      <w:lvlJc w:val="left"/>
      <w:pPr>
        <w:tabs>
          <w:tab w:val="num" w:pos="4320"/>
        </w:tabs>
        <w:ind w:left="4320" w:hanging="360"/>
      </w:pPr>
      <w:rPr>
        <w:rFonts w:ascii="Arial" w:hAnsi="Arial" w:hint="default"/>
      </w:rPr>
    </w:lvl>
    <w:lvl w:ilvl="6" w:tplc="49B06AAE" w:tentative="1">
      <w:start w:val="1"/>
      <w:numFmt w:val="bullet"/>
      <w:lvlText w:val="–"/>
      <w:lvlJc w:val="left"/>
      <w:pPr>
        <w:tabs>
          <w:tab w:val="num" w:pos="5040"/>
        </w:tabs>
        <w:ind w:left="5040" w:hanging="360"/>
      </w:pPr>
      <w:rPr>
        <w:rFonts w:ascii="Arial" w:hAnsi="Arial" w:hint="default"/>
      </w:rPr>
    </w:lvl>
    <w:lvl w:ilvl="7" w:tplc="353A8300" w:tentative="1">
      <w:start w:val="1"/>
      <w:numFmt w:val="bullet"/>
      <w:lvlText w:val="–"/>
      <w:lvlJc w:val="left"/>
      <w:pPr>
        <w:tabs>
          <w:tab w:val="num" w:pos="5760"/>
        </w:tabs>
        <w:ind w:left="5760" w:hanging="360"/>
      </w:pPr>
      <w:rPr>
        <w:rFonts w:ascii="Arial" w:hAnsi="Arial" w:hint="default"/>
      </w:rPr>
    </w:lvl>
    <w:lvl w:ilvl="8" w:tplc="FD2066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531EEC"/>
    <w:multiLevelType w:val="multilevel"/>
    <w:tmpl w:val="B3404DDA"/>
    <w:styleLink w:val="NuevaListaTelefonica"/>
    <w:lvl w:ilvl="0">
      <w:start w:val="1"/>
      <w:numFmt w:val="decimal"/>
      <w:pStyle w:val="Ttulo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8343BD"/>
    <w:multiLevelType w:val="multilevel"/>
    <w:tmpl w:val="AA56399E"/>
    <w:numStyleLink w:val="Estilo2"/>
  </w:abstractNum>
  <w:abstractNum w:abstractNumId="13" w15:restartNumberingAfterBreak="0">
    <w:nsid w:val="6292344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065199"/>
    <w:multiLevelType w:val="multilevel"/>
    <w:tmpl w:val="3B90849C"/>
    <w:lvl w:ilvl="0">
      <w:start w:val="1"/>
      <w:numFmt w:val="decimal"/>
      <w:pStyle w:val="TtulopginaTelefnic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4B2BC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10382"/>
    <w:multiLevelType w:val="hybridMultilevel"/>
    <w:tmpl w:val="95C887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2578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261D51"/>
    <w:multiLevelType w:val="multilevel"/>
    <w:tmpl w:val="3D5EB38E"/>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554B96"/>
    <w:multiLevelType w:val="multilevel"/>
    <w:tmpl w:val="AA56399E"/>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3150773">
    <w:abstractNumId w:val="10"/>
  </w:num>
  <w:num w:numId="2" w16cid:durableId="1527868670">
    <w:abstractNumId w:val="9"/>
  </w:num>
  <w:num w:numId="3" w16cid:durableId="1559628754">
    <w:abstractNumId w:val="6"/>
  </w:num>
  <w:num w:numId="4" w16cid:durableId="139274789">
    <w:abstractNumId w:val="16"/>
  </w:num>
  <w:num w:numId="5" w16cid:durableId="921720549">
    <w:abstractNumId w:val="14"/>
  </w:num>
  <w:num w:numId="6" w16cid:durableId="1573153308">
    <w:abstractNumId w:val="12"/>
  </w:num>
  <w:num w:numId="7" w16cid:durableId="1461218739">
    <w:abstractNumId w:val="2"/>
  </w:num>
  <w:num w:numId="8" w16cid:durableId="1693872520">
    <w:abstractNumId w:val="19"/>
  </w:num>
  <w:num w:numId="9" w16cid:durableId="249512905">
    <w:abstractNumId w:val="18"/>
  </w:num>
  <w:num w:numId="10" w16cid:durableId="43600847">
    <w:abstractNumId w:val="3"/>
  </w:num>
  <w:num w:numId="11" w16cid:durableId="497812417">
    <w:abstractNumId w:val="8"/>
  </w:num>
  <w:num w:numId="12" w16cid:durableId="1024861577">
    <w:abstractNumId w:val="5"/>
  </w:num>
  <w:num w:numId="13" w16cid:durableId="708333201">
    <w:abstractNumId w:val="4"/>
  </w:num>
  <w:num w:numId="14" w16cid:durableId="933824410">
    <w:abstractNumId w:val="0"/>
  </w:num>
  <w:num w:numId="15" w16cid:durableId="1003699992">
    <w:abstractNumId w:val="15"/>
  </w:num>
  <w:num w:numId="16" w16cid:durableId="1561555195">
    <w:abstractNumId w:val="13"/>
  </w:num>
  <w:num w:numId="17" w16cid:durableId="1607076591">
    <w:abstractNumId w:val="1"/>
  </w:num>
  <w:num w:numId="18" w16cid:durableId="21111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530065">
    <w:abstractNumId w:val="17"/>
  </w:num>
  <w:num w:numId="20" w16cid:durableId="1414086003">
    <w:abstractNumId w:val="11"/>
  </w:num>
  <w:num w:numId="21" w16cid:durableId="806557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88"/>
    <w:rsid w:val="00003DEE"/>
    <w:rsid w:val="00010C60"/>
    <w:rsid w:val="000204E4"/>
    <w:rsid w:val="00024257"/>
    <w:rsid w:val="00031E20"/>
    <w:rsid w:val="00034D7E"/>
    <w:rsid w:val="000413FC"/>
    <w:rsid w:val="00050AC8"/>
    <w:rsid w:val="00064C61"/>
    <w:rsid w:val="00066F7F"/>
    <w:rsid w:val="00067192"/>
    <w:rsid w:val="00082C98"/>
    <w:rsid w:val="000942F9"/>
    <w:rsid w:val="0009485D"/>
    <w:rsid w:val="000A1870"/>
    <w:rsid w:val="000B15C9"/>
    <w:rsid w:val="000C2403"/>
    <w:rsid w:val="000C5F11"/>
    <w:rsid w:val="000C71EC"/>
    <w:rsid w:val="000E7D11"/>
    <w:rsid w:val="000F29AA"/>
    <w:rsid w:val="000F349A"/>
    <w:rsid w:val="001009D0"/>
    <w:rsid w:val="00112947"/>
    <w:rsid w:val="00113F48"/>
    <w:rsid w:val="00117A8C"/>
    <w:rsid w:val="00125D9B"/>
    <w:rsid w:val="001309EE"/>
    <w:rsid w:val="00135D30"/>
    <w:rsid w:val="00143EB9"/>
    <w:rsid w:val="00151B73"/>
    <w:rsid w:val="00151E15"/>
    <w:rsid w:val="001574B3"/>
    <w:rsid w:val="00160E4D"/>
    <w:rsid w:val="001669EF"/>
    <w:rsid w:val="00175A8B"/>
    <w:rsid w:val="00182042"/>
    <w:rsid w:val="001870CE"/>
    <w:rsid w:val="0018797D"/>
    <w:rsid w:val="001C2DDF"/>
    <w:rsid w:val="001D68D5"/>
    <w:rsid w:val="001D7758"/>
    <w:rsid w:val="001E7A9F"/>
    <w:rsid w:val="001F446C"/>
    <w:rsid w:val="0020207E"/>
    <w:rsid w:val="00207D15"/>
    <w:rsid w:val="00215286"/>
    <w:rsid w:val="00216AF9"/>
    <w:rsid w:val="0021760F"/>
    <w:rsid w:val="00227783"/>
    <w:rsid w:val="002324B1"/>
    <w:rsid w:val="00261EEA"/>
    <w:rsid w:val="002673BD"/>
    <w:rsid w:val="00277B06"/>
    <w:rsid w:val="00281EBA"/>
    <w:rsid w:val="00283CEB"/>
    <w:rsid w:val="00284BE5"/>
    <w:rsid w:val="0028506D"/>
    <w:rsid w:val="00287D5B"/>
    <w:rsid w:val="00297A92"/>
    <w:rsid w:val="002A00AE"/>
    <w:rsid w:val="002A3E5E"/>
    <w:rsid w:val="002A75C0"/>
    <w:rsid w:val="002B2AF0"/>
    <w:rsid w:val="002B3D5E"/>
    <w:rsid w:val="002B3FDF"/>
    <w:rsid w:val="002B7D8B"/>
    <w:rsid w:val="002C17B7"/>
    <w:rsid w:val="002C2DA4"/>
    <w:rsid w:val="002C550D"/>
    <w:rsid w:val="002C668A"/>
    <w:rsid w:val="002F7640"/>
    <w:rsid w:val="00301D07"/>
    <w:rsid w:val="00303383"/>
    <w:rsid w:val="00303766"/>
    <w:rsid w:val="00343557"/>
    <w:rsid w:val="003527B0"/>
    <w:rsid w:val="003563F1"/>
    <w:rsid w:val="0036794D"/>
    <w:rsid w:val="0038087E"/>
    <w:rsid w:val="00382057"/>
    <w:rsid w:val="003847EB"/>
    <w:rsid w:val="00390237"/>
    <w:rsid w:val="00392505"/>
    <w:rsid w:val="0039260B"/>
    <w:rsid w:val="003974E8"/>
    <w:rsid w:val="003B0719"/>
    <w:rsid w:val="003C0DAD"/>
    <w:rsid w:val="003C0E26"/>
    <w:rsid w:val="003C45A1"/>
    <w:rsid w:val="003E5177"/>
    <w:rsid w:val="003E5EE7"/>
    <w:rsid w:val="003F1F7D"/>
    <w:rsid w:val="004215E2"/>
    <w:rsid w:val="004307F6"/>
    <w:rsid w:val="00441E27"/>
    <w:rsid w:val="004426D6"/>
    <w:rsid w:val="0045617C"/>
    <w:rsid w:val="004579A6"/>
    <w:rsid w:val="00480ACC"/>
    <w:rsid w:val="0048129E"/>
    <w:rsid w:val="0048408C"/>
    <w:rsid w:val="0049508E"/>
    <w:rsid w:val="004A2711"/>
    <w:rsid w:val="004B3AFF"/>
    <w:rsid w:val="004C1812"/>
    <w:rsid w:val="004C33DA"/>
    <w:rsid w:val="004D072C"/>
    <w:rsid w:val="004E22D3"/>
    <w:rsid w:val="004F7F16"/>
    <w:rsid w:val="0050556B"/>
    <w:rsid w:val="00514245"/>
    <w:rsid w:val="0052228D"/>
    <w:rsid w:val="00532CEF"/>
    <w:rsid w:val="005406FA"/>
    <w:rsid w:val="00542851"/>
    <w:rsid w:val="00550D9B"/>
    <w:rsid w:val="00552138"/>
    <w:rsid w:val="00560E8F"/>
    <w:rsid w:val="0056534A"/>
    <w:rsid w:val="005654AA"/>
    <w:rsid w:val="005664C8"/>
    <w:rsid w:val="0057575C"/>
    <w:rsid w:val="00577933"/>
    <w:rsid w:val="00581CF2"/>
    <w:rsid w:val="005976F8"/>
    <w:rsid w:val="005B1C00"/>
    <w:rsid w:val="005B4004"/>
    <w:rsid w:val="005B50EF"/>
    <w:rsid w:val="005B7FB7"/>
    <w:rsid w:val="005D33C6"/>
    <w:rsid w:val="005F6C02"/>
    <w:rsid w:val="00602643"/>
    <w:rsid w:val="006174D3"/>
    <w:rsid w:val="0062202D"/>
    <w:rsid w:val="00632322"/>
    <w:rsid w:val="00632775"/>
    <w:rsid w:val="006342DD"/>
    <w:rsid w:val="00644ADA"/>
    <w:rsid w:val="00652CF9"/>
    <w:rsid w:val="00656B82"/>
    <w:rsid w:val="0066386E"/>
    <w:rsid w:val="0066538F"/>
    <w:rsid w:val="00665860"/>
    <w:rsid w:val="00666A74"/>
    <w:rsid w:val="0067616A"/>
    <w:rsid w:val="00677046"/>
    <w:rsid w:val="006772F1"/>
    <w:rsid w:val="00680DDB"/>
    <w:rsid w:val="0068688A"/>
    <w:rsid w:val="006948F0"/>
    <w:rsid w:val="006B7A2B"/>
    <w:rsid w:val="006C7D5B"/>
    <w:rsid w:val="006E642E"/>
    <w:rsid w:val="006F13A5"/>
    <w:rsid w:val="006F35E2"/>
    <w:rsid w:val="006F65EA"/>
    <w:rsid w:val="00700AAA"/>
    <w:rsid w:val="007135A3"/>
    <w:rsid w:val="007233B7"/>
    <w:rsid w:val="007247A6"/>
    <w:rsid w:val="0074206C"/>
    <w:rsid w:val="00742C4C"/>
    <w:rsid w:val="00746DC8"/>
    <w:rsid w:val="00746F3D"/>
    <w:rsid w:val="00757C07"/>
    <w:rsid w:val="007661A7"/>
    <w:rsid w:val="007746EC"/>
    <w:rsid w:val="00775BAD"/>
    <w:rsid w:val="00780555"/>
    <w:rsid w:val="0078456D"/>
    <w:rsid w:val="007A7970"/>
    <w:rsid w:val="007D27C9"/>
    <w:rsid w:val="007F01F2"/>
    <w:rsid w:val="00806D1F"/>
    <w:rsid w:val="00820F42"/>
    <w:rsid w:val="00822C76"/>
    <w:rsid w:val="008348DA"/>
    <w:rsid w:val="0084045D"/>
    <w:rsid w:val="00844132"/>
    <w:rsid w:val="00851F62"/>
    <w:rsid w:val="00856198"/>
    <w:rsid w:val="00856764"/>
    <w:rsid w:val="00857C06"/>
    <w:rsid w:val="00873D9A"/>
    <w:rsid w:val="008742EE"/>
    <w:rsid w:val="00882D18"/>
    <w:rsid w:val="008849C9"/>
    <w:rsid w:val="00891F25"/>
    <w:rsid w:val="00892749"/>
    <w:rsid w:val="008A38EC"/>
    <w:rsid w:val="008A5220"/>
    <w:rsid w:val="008B7416"/>
    <w:rsid w:val="008C5242"/>
    <w:rsid w:val="008C6592"/>
    <w:rsid w:val="008D0F43"/>
    <w:rsid w:val="008D43FB"/>
    <w:rsid w:val="008E1C9B"/>
    <w:rsid w:val="00903DB1"/>
    <w:rsid w:val="0090411D"/>
    <w:rsid w:val="0091444C"/>
    <w:rsid w:val="00922041"/>
    <w:rsid w:val="00925CC4"/>
    <w:rsid w:val="00941530"/>
    <w:rsid w:val="00952BF2"/>
    <w:rsid w:val="00952DB1"/>
    <w:rsid w:val="009624C3"/>
    <w:rsid w:val="009800C7"/>
    <w:rsid w:val="00980D9D"/>
    <w:rsid w:val="00987516"/>
    <w:rsid w:val="009B38E8"/>
    <w:rsid w:val="009C345A"/>
    <w:rsid w:val="009D7220"/>
    <w:rsid w:val="009E4061"/>
    <w:rsid w:val="009F0105"/>
    <w:rsid w:val="009F2565"/>
    <w:rsid w:val="009F3AE1"/>
    <w:rsid w:val="00A1263C"/>
    <w:rsid w:val="00A17F20"/>
    <w:rsid w:val="00A323B4"/>
    <w:rsid w:val="00A500E7"/>
    <w:rsid w:val="00A61586"/>
    <w:rsid w:val="00A71A62"/>
    <w:rsid w:val="00A72088"/>
    <w:rsid w:val="00A72662"/>
    <w:rsid w:val="00AA4168"/>
    <w:rsid w:val="00AA5A3C"/>
    <w:rsid w:val="00AB0791"/>
    <w:rsid w:val="00AB658A"/>
    <w:rsid w:val="00AB66CE"/>
    <w:rsid w:val="00B14819"/>
    <w:rsid w:val="00B21758"/>
    <w:rsid w:val="00B2417F"/>
    <w:rsid w:val="00B25AC5"/>
    <w:rsid w:val="00B3240F"/>
    <w:rsid w:val="00B341C8"/>
    <w:rsid w:val="00B423EA"/>
    <w:rsid w:val="00B4427B"/>
    <w:rsid w:val="00B575A4"/>
    <w:rsid w:val="00B712DB"/>
    <w:rsid w:val="00B74DD8"/>
    <w:rsid w:val="00B76C19"/>
    <w:rsid w:val="00B856F7"/>
    <w:rsid w:val="00B978B4"/>
    <w:rsid w:val="00BB16E0"/>
    <w:rsid w:val="00BD015F"/>
    <w:rsid w:val="00BD0E7C"/>
    <w:rsid w:val="00BD1148"/>
    <w:rsid w:val="00BD12E2"/>
    <w:rsid w:val="00BE426A"/>
    <w:rsid w:val="00BF0B12"/>
    <w:rsid w:val="00BF11D5"/>
    <w:rsid w:val="00C06119"/>
    <w:rsid w:val="00C127C1"/>
    <w:rsid w:val="00C17D8A"/>
    <w:rsid w:val="00C2212A"/>
    <w:rsid w:val="00C24B3E"/>
    <w:rsid w:val="00C27B42"/>
    <w:rsid w:val="00C32648"/>
    <w:rsid w:val="00C330C5"/>
    <w:rsid w:val="00C330E3"/>
    <w:rsid w:val="00C3668A"/>
    <w:rsid w:val="00C44AE4"/>
    <w:rsid w:val="00C556BC"/>
    <w:rsid w:val="00C56C7C"/>
    <w:rsid w:val="00C604CB"/>
    <w:rsid w:val="00C901AE"/>
    <w:rsid w:val="00C90772"/>
    <w:rsid w:val="00C93898"/>
    <w:rsid w:val="00C943EC"/>
    <w:rsid w:val="00C94EE6"/>
    <w:rsid w:val="00C96CDC"/>
    <w:rsid w:val="00C97674"/>
    <w:rsid w:val="00CB53B1"/>
    <w:rsid w:val="00CC057B"/>
    <w:rsid w:val="00CC4B94"/>
    <w:rsid w:val="00CC6149"/>
    <w:rsid w:val="00CD0A2E"/>
    <w:rsid w:val="00CD4EE9"/>
    <w:rsid w:val="00CD65A2"/>
    <w:rsid w:val="00D0210D"/>
    <w:rsid w:val="00D02335"/>
    <w:rsid w:val="00D0313D"/>
    <w:rsid w:val="00D1528F"/>
    <w:rsid w:val="00D177E3"/>
    <w:rsid w:val="00D25F2B"/>
    <w:rsid w:val="00D34D1F"/>
    <w:rsid w:val="00D45F37"/>
    <w:rsid w:val="00D5356A"/>
    <w:rsid w:val="00D54EDA"/>
    <w:rsid w:val="00D66BE9"/>
    <w:rsid w:val="00D706CF"/>
    <w:rsid w:val="00D73D12"/>
    <w:rsid w:val="00D77D3A"/>
    <w:rsid w:val="00D900EE"/>
    <w:rsid w:val="00D938DC"/>
    <w:rsid w:val="00DA245D"/>
    <w:rsid w:val="00DA749A"/>
    <w:rsid w:val="00DB0EE5"/>
    <w:rsid w:val="00DB4314"/>
    <w:rsid w:val="00DB5C90"/>
    <w:rsid w:val="00DC5C9B"/>
    <w:rsid w:val="00DD1E22"/>
    <w:rsid w:val="00DD6F27"/>
    <w:rsid w:val="00DE26E1"/>
    <w:rsid w:val="00DE3D2E"/>
    <w:rsid w:val="00E05A61"/>
    <w:rsid w:val="00E2503B"/>
    <w:rsid w:val="00E2692C"/>
    <w:rsid w:val="00E27720"/>
    <w:rsid w:val="00E403FC"/>
    <w:rsid w:val="00E5778C"/>
    <w:rsid w:val="00E732E8"/>
    <w:rsid w:val="00E75CD6"/>
    <w:rsid w:val="00E838DE"/>
    <w:rsid w:val="00E96671"/>
    <w:rsid w:val="00EA5FAF"/>
    <w:rsid w:val="00EC0280"/>
    <w:rsid w:val="00EE146B"/>
    <w:rsid w:val="00EE3820"/>
    <w:rsid w:val="00EF4073"/>
    <w:rsid w:val="00F048C4"/>
    <w:rsid w:val="00F0677C"/>
    <w:rsid w:val="00F1583B"/>
    <w:rsid w:val="00F30621"/>
    <w:rsid w:val="00F33FD0"/>
    <w:rsid w:val="00F34111"/>
    <w:rsid w:val="00F34FA4"/>
    <w:rsid w:val="00F37379"/>
    <w:rsid w:val="00F4088C"/>
    <w:rsid w:val="00F40BD6"/>
    <w:rsid w:val="00F44F0D"/>
    <w:rsid w:val="00F46AB6"/>
    <w:rsid w:val="00F50800"/>
    <w:rsid w:val="00F522CC"/>
    <w:rsid w:val="00F64946"/>
    <w:rsid w:val="00F706B6"/>
    <w:rsid w:val="00F76BE2"/>
    <w:rsid w:val="00F81107"/>
    <w:rsid w:val="00FA0B33"/>
    <w:rsid w:val="00FA7524"/>
    <w:rsid w:val="00FB4514"/>
    <w:rsid w:val="00FB766E"/>
    <w:rsid w:val="00FC3A4C"/>
    <w:rsid w:val="00FC6BEE"/>
    <w:rsid w:val="00FD00BD"/>
    <w:rsid w:val="00FD7B6A"/>
    <w:rsid w:val="00FE3641"/>
    <w:rsid w:val="00FE3B42"/>
    <w:rsid w:val="00FE46AD"/>
    <w:rsid w:val="00FE5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8EC3C"/>
  <w15:chartTrackingRefBased/>
  <w15:docId w15:val="{6ACBA5E0-75F3-4BD8-A975-C2C01C06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rsid w:val="00C556BC"/>
  </w:style>
  <w:style w:type="paragraph" w:styleId="Ttulo1">
    <w:name w:val="heading 1"/>
    <w:basedOn w:val="Normal"/>
    <w:next w:val="Normal"/>
    <w:link w:val="Ttulo1Car"/>
    <w:qFormat/>
    <w:rsid w:val="008C6592"/>
    <w:pPr>
      <w:keepNext/>
      <w:keepLines/>
      <w:numPr>
        <w:numId w:val="20"/>
      </w:numPr>
      <w:spacing w:before="240" w:after="240"/>
      <w:ind w:left="357" w:hanging="357"/>
      <w:outlineLvl w:val="0"/>
    </w:pPr>
    <w:rPr>
      <w:rFonts w:asciiTheme="majorHAnsi" w:eastAsiaTheme="majorEastAsia" w:hAnsiTheme="majorHAnsi" w:cstheme="majorBidi"/>
      <w:color w:val="0C6DFF"/>
      <w:sz w:val="36"/>
      <w:szCs w:val="32"/>
    </w:rPr>
  </w:style>
  <w:style w:type="paragraph" w:styleId="Ttulo2">
    <w:name w:val="heading 2"/>
    <w:basedOn w:val="Normal"/>
    <w:next w:val="Normal"/>
    <w:link w:val="Ttulo2Car"/>
    <w:uiPriority w:val="1"/>
    <w:qFormat/>
    <w:rsid w:val="008C6592"/>
    <w:pPr>
      <w:keepNext/>
      <w:keepLines/>
      <w:numPr>
        <w:ilvl w:val="1"/>
        <w:numId w:val="20"/>
      </w:numPr>
      <w:spacing w:after="240"/>
      <w:ind w:left="788" w:hanging="431"/>
      <w:outlineLvl w:val="1"/>
    </w:pPr>
    <w:rPr>
      <w:rFonts w:asciiTheme="majorHAnsi" w:eastAsiaTheme="majorEastAsia" w:hAnsiTheme="majorHAnsi" w:cstheme="majorBidi"/>
      <w:b/>
      <w:color w:val="606060"/>
      <w:sz w:val="24"/>
      <w:szCs w:val="26"/>
    </w:rPr>
  </w:style>
  <w:style w:type="paragraph" w:styleId="Ttulo3">
    <w:name w:val="heading 3"/>
    <w:basedOn w:val="Normal"/>
    <w:next w:val="PrrafoTelefnica"/>
    <w:link w:val="Ttulo3Car"/>
    <w:uiPriority w:val="2"/>
    <w:qFormat/>
    <w:rsid w:val="008C6592"/>
    <w:pPr>
      <w:keepNext/>
      <w:keepLines/>
      <w:numPr>
        <w:ilvl w:val="2"/>
        <w:numId w:val="20"/>
      </w:numPr>
      <w:spacing w:after="0"/>
      <w:ind w:left="1225" w:hanging="505"/>
      <w:outlineLvl w:val="2"/>
    </w:pPr>
    <w:rPr>
      <w:rFonts w:asciiTheme="majorHAnsi" w:eastAsiaTheme="majorEastAsia" w:hAnsiTheme="majorHAnsi" w:cstheme="majorBidi"/>
      <w:color w:val="363B49" w:themeColor="accent1" w:themeShade="7F"/>
      <w:sz w:val="24"/>
      <w:szCs w:val="24"/>
    </w:rPr>
  </w:style>
  <w:style w:type="paragraph" w:styleId="Ttulo4">
    <w:name w:val="heading 4"/>
    <w:basedOn w:val="Normal"/>
    <w:next w:val="Normal"/>
    <w:link w:val="Ttulo4Car"/>
    <w:uiPriority w:val="9"/>
    <w:semiHidden/>
    <w:unhideWhenUsed/>
    <w:qFormat/>
    <w:rsid w:val="00A72088"/>
    <w:pPr>
      <w:keepNext/>
      <w:keepLines/>
      <w:spacing w:before="80" w:after="40"/>
      <w:outlineLvl w:val="3"/>
    </w:pPr>
    <w:rPr>
      <w:rFonts w:eastAsiaTheme="majorEastAsia" w:cstheme="majorBidi"/>
      <w:i/>
      <w:iCs/>
      <w:color w:val="52596E" w:themeColor="accent1" w:themeShade="BF"/>
    </w:rPr>
  </w:style>
  <w:style w:type="paragraph" w:styleId="Ttulo5">
    <w:name w:val="heading 5"/>
    <w:basedOn w:val="Normal"/>
    <w:next w:val="Normal"/>
    <w:link w:val="Ttulo5Car"/>
    <w:uiPriority w:val="9"/>
    <w:semiHidden/>
    <w:unhideWhenUsed/>
    <w:qFormat/>
    <w:rsid w:val="00A72088"/>
    <w:pPr>
      <w:keepNext/>
      <w:keepLines/>
      <w:spacing w:before="80" w:after="40"/>
      <w:outlineLvl w:val="4"/>
    </w:pPr>
    <w:rPr>
      <w:rFonts w:eastAsiaTheme="majorEastAsia" w:cstheme="majorBidi"/>
      <w:color w:val="52596E" w:themeColor="accent1" w:themeShade="BF"/>
    </w:rPr>
  </w:style>
  <w:style w:type="paragraph" w:styleId="Ttulo6">
    <w:name w:val="heading 6"/>
    <w:basedOn w:val="Normal"/>
    <w:next w:val="Normal"/>
    <w:link w:val="Ttulo6Car"/>
    <w:uiPriority w:val="9"/>
    <w:semiHidden/>
    <w:unhideWhenUsed/>
    <w:qFormat/>
    <w:rsid w:val="00A72088"/>
    <w:pPr>
      <w:keepNext/>
      <w:keepLines/>
      <w:spacing w:before="40" w:after="0"/>
      <w:outlineLvl w:val="5"/>
    </w:pPr>
    <w:rPr>
      <w:rFonts w:eastAsiaTheme="majorEastAsia" w:cstheme="majorBidi"/>
      <w:i/>
      <w:iCs/>
      <w:color w:val="609FFF" w:themeColor="text1" w:themeTint="A6"/>
    </w:rPr>
  </w:style>
  <w:style w:type="paragraph" w:styleId="Ttulo7">
    <w:name w:val="heading 7"/>
    <w:basedOn w:val="Normal"/>
    <w:next w:val="Normal"/>
    <w:link w:val="Ttulo7Car"/>
    <w:uiPriority w:val="9"/>
    <w:semiHidden/>
    <w:unhideWhenUsed/>
    <w:qFormat/>
    <w:rsid w:val="00A72088"/>
    <w:pPr>
      <w:keepNext/>
      <w:keepLines/>
      <w:spacing w:before="40" w:after="0"/>
      <w:outlineLvl w:val="6"/>
    </w:pPr>
    <w:rPr>
      <w:rFonts w:eastAsiaTheme="majorEastAsia" w:cstheme="majorBidi"/>
      <w:color w:val="609FFF" w:themeColor="text1" w:themeTint="A6"/>
    </w:rPr>
  </w:style>
  <w:style w:type="paragraph" w:styleId="Ttulo8">
    <w:name w:val="heading 8"/>
    <w:basedOn w:val="Normal"/>
    <w:next w:val="Normal"/>
    <w:link w:val="Ttulo8Car"/>
    <w:uiPriority w:val="9"/>
    <w:semiHidden/>
    <w:unhideWhenUsed/>
    <w:qFormat/>
    <w:rsid w:val="00A72088"/>
    <w:pPr>
      <w:keepNext/>
      <w:keepLines/>
      <w:spacing w:after="0"/>
      <w:outlineLvl w:val="7"/>
    </w:pPr>
    <w:rPr>
      <w:rFonts w:eastAsiaTheme="majorEastAsia" w:cstheme="majorBidi"/>
      <w:i/>
      <w:iCs/>
      <w:color w:val="3182FF" w:themeColor="text1" w:themeTint="D8"/>
    </w:rPr>
  </w:style>
  <w:style w:type="paragraph" w:styleId="Ttulo9">
    <w:name w:val="heading 9"/>
    <w:basedOn w:val="Normal"/>
    <w:next w:val="Normal"/>
    <w:link w:val="Ttulo9Car"/>
    <w:uiPriority w:val="9"/>
    <w:semiHidden/>
    <w:unhideWhenUsed/>
    <w:qFormat/>
    <w:rsid w:val="00A72088"/>
    <w:pPr>
      <w:keepNext/>
      <w:keepLines/>
      <w:spacing w:after="0"/>
      <w:outlineLvl w:val="8"/>
    </w:pPr>
    <w:rPr>
      <w:rFonts w:eastAsiaTheme="majorEastAsia" w:cstheme="majorBidi"/>
      <w:color w:val="3182FF"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C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C06"/>
  </w:style>
  <w:style w:type="paragraph" w:styleId="Piedepgina">
    <w:name w:val="footer"/>
    <w:basedOn w:val="Normal"/>
    <w:link w:val="PiedepginaCar"/>
    <w:uiPriority w:val="99"/>
    <w:unhideWhenUsed/>
    <w:rsid w:val="00857C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C06"/>
  </w:style>
  <w:style w:type="character" w:styleId="Textodelmarcadordeposicin">
    <w:name w:val="Placeholder Text"/>
    <w:basedOn w:val="Fuentedeprrafopredeter"/>
    <w:uiPriority w:val="99"/>
    <w:semiHidden/>
    <w:rsid w:val="00857C06"/>
    <w:rPr>
      <w:color w:val="808080"/>
    </w:rPr>
  </w:style>
  <w:style w:type="paragraph" w:styleId="NormalWeb">
    <w:name w:val="Normal (Web)"/>
    <w:basedOn w:val="Normal"/>
    <w:uiPriority w:val="99"/>
    <w:semiHidden/>
    <w:unhideWhenUsed/>
    <w:rsid w:val="004C33D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rsid w:val="007746EC"/>
    <w:pPr>
      <w:spacing w:after="0" w:line="240" w:lineRule="auto"/>
      <w:ind w:left="720"/>
      <w:contextualSpacing/>
    </w:pPr>
    <w:rPr>
      <w:rFonts w:ascii="Times New Roman" w:eastAsiaTheme="minorEastAsia" w:hAnsi="Times New Roman" w:cs="Times New Roman"/>
      <w:sz w:val="24"/>
      <w:szCs w:val="24"/>
      <w:lang w:eastAsia="es-ES"/>
    </w:rPr>
  </w:style>
  <w:style w:type="table" w:styleId="Tablaconcuadrcula">
    <w:name w:val="Table Grid"/>
    <w:basedOn w:val="Tablanormal"/>
    <w:uiPriority w:val="39"/>
    <w:rsid w:val="0018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2042"/>
    <w:pPr>
      <w:spacing w:after="0" w:line="240" w:lineRule="auto"/>
    </w:pPr>
    <w:tblPr>
      <w:tblStyleRowBandSize w:val="1"/>
      <w:tblStyleColBandSize w:val="1"/>
      <w:tblBorders>
        <w:top w:val="single" w:sz="4" w:space="0" w:color="85B5FF" w:themeColor="text1" w:themeTint="80"/>
        <w:bottom w:val="single" w:sz="4" w:space="0" w:color="85B5FF" w:themeColor="text1" w:themeTint="80"/>
      </w:tblBorders>
    </w:tblPr>
    <w:tblStylePr w:type="firstRow">
      <w:rPr>
        <w:b/>
        <w:bCs/>
      </w:rPr>
      <w:tblPr/>
      <w:tcPr>
        <w:tcBorders>
          <w:bottom w:val="single" w:sz="4" w:space="0" w:color="85B5FF" w:themeColor="text1" w:themeTint="80"/>
        </w:tcBorders>
      </w:tcPr>
    </w:tblStylePr>
    <w:tblStylePr w:type="lastRow">
      <w:rPr>
        <w:b/>
        <w:bCs/>
      </w:rPr>
      <w:tblPr/>
      <w:tcPr>
        <w:tcBorders>
          <w:top w:val="single" w:sz="4" w:space="0" w:color="85B5FF" w:themeColor="text1" w:themeTint="80"/>
        </w:tcBorders>
      </w:tcPr>
    </w:tblStylePr>
    <w:tblStylePr w:type="firstCol">
      <w:rPr>
        <w:b/>
        <w:bCs/>
      </w:rPr>
    </w:tblStylePr>
    <w:tblStylePr w:type="lastCol">
      <w:rPr>
        <w:b/>
        <w:bCs/>
      </w:rPr>
    </w:tblStylePr>
    <w:tblStylePr w:type="band1Vert">
      <w:tblPr/>
      <w:tcPr>
        <w:tcBorders>
          <w:left w:val="single" w:sz="4" w:space="0" w:color="85B5FF" w:themeColor="text1" w:themeTint="80"/>
          <w:right w:val="single" w:sz="4" w:space="0" w:color="85B5FF" w:themeColor="text1" w:themeTint="80"/>
        </w:tcBorders>
      </w:tcPr>
    </w:tblStylePr>
    <w:tblStylePr w:type="band2Vert">
      <w:tblPr/>
      <w:tcPr>
        <w:tcBorders>
          <w:left w:val="single" w:sz="4" w:space="0" w:color="85B5FF" w:themeColor="text1" w:themeTint="80"/>
          <w:right w:val="single" w:sz="4" w:space="0" w:color="85B5FF" w:themeColor="text1" w:themeTint="80"/>
        </w:tcBorders>
      </w:tcPr>
    </w:tblStylePr>
    <w:tblStylePr w:type="band1Horz">
      <w:tblPr/>
      <w:tcPr>
        <w:tcBorders>
          <w:top w:val="single" w:sz="4" w:space="0" w:color="85B5FF" w:themeColor="text1" w:themeTint="80"/>
          <w:bottom w:val="single" w:sz="4" w:space="0" w:color="85B5FF" w:themeColor="text1" w:themeTint="80"/>
        </w:tcBorders>
      </w:tcPr>
    </w:tblStylePr>
  </w:style>
  <w:style w:type="table" w:styleId="Tablanormal1">
    <w:name w:val="Plain Table 1"/>
    <w:basedOn w:val="Tablanormal"/>
    <w:uiPriority w:val="41"/>
    <w:rsid w:val="00182042"/>
    <w:pPr>
      <w:spacing w:after="0" w:line="240" w:lineRule="auto"/>
    </w:pPr>
    <w:tblPr>
      <w:tblStyleRowBandSize w:val="1"/>
      <w:tblStyleColBandSize w:val="1"/>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tblStylePr w:type="firstRow">
      <w:rPr>
        <w:b/>
        <w:bCs/>
      </w:rPr>
    </w:tblStylePr>
    <w:tblStylePr w:type="lastRow">
      <w:rPr>
        <w:b/>
        <w:bCs/>
      </w:rPr>
      <w:tblPr/>
      <w:tcPr>
        <w:tcBorders>
          <w:top w:val="double" w:sz="4" w:space="0" w:color="474747" w:themeColor="background1" w:themeShade="BF"/>
        </w:tcBorders>
      </w:tcPr>
    </w:tblStylePr>
    <w:tblStylePr w:type="firstCol">
      <w:rPr>
        <w:b/>
        <w:bCs/>
      </w:rPr>
    </w:tblStylePr>
    <w:tblStylePr w:type="lastCol">
      <w:rPr>
        <w:b/>
        <w:bCs/>
      </w:rPr>
    </w:tblStylePr>
    <w:tblStylePr w:type="band1Vert">
      <w:tblPr/>
      <w:tcPr>
        <w:shd w:val="clear" w:color="auto" w:fill="5B5B5B" w:themeFill="background1" w:themeFillShade="F2"/>
      </w:tcPr>
    </w:tblStylePr>
    <w:tblStylePr w:type="band1Horz">
      <w:tblPr/>
      <w:tcPr>
        <w:shd w:val="clear" w:color="auto" w:fill="5B5B5B" w:themeFill="background1" w:themeFillShade="F2"/>
      </w:tcPr>
    </w:tblStylePr>
  </w:style>
  <w:style w:type="table" w:styleId="Tablaconcuadrculaclara">
    <w:name w:val="Grid Table Light"/>
    <w:basedOn w:val="Tablanormal"/>
    <w:uiPriority w:val="40"/>
    <w:rsid w:val="00182042"/>
    <w:pPr>
      <w:spacing w:after="0" w:line="240" w:lineRule="auto"/>
    </w:pPr>
    <w:tblPr>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style>
  <w:style w:type="paragraph" w:styleId="Textodeglobo">
    <w:name w:val="Balloon Text"/>
    <w:basedOn w:val="Normal"/>
    <w:link w:val="TextodegloboCar"/>
    <w:uiPriority w:val="99"/>
    <w:semiHidden/>
    <w:unhideWhenUsed/>
    <w:rsid w:val="000671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7192"/>
    <w:rPr>
      <w:rFonts w:ascii="Segoe UI" w:hAnsi="Segoe UI" w:cs="Segoe UI"/>
      <w:sz w:val="18"/>
      <w:szCs w:val="18"/>
    </w:rPr>
  </w:style>
  <w:style w:type="paragraph" w:customStyle="1" w:styleId="TtuloportadaTelefnica">
    <w:name w:val="Título portada Telefónica"/>
    <w:basedOn w:val="Normal"/>
    <w:link w:val="TtuloportadaTelefnicaCar"/>
    <w:uiPriority w:val="9"/>
    <w:qFormat/>
    <w:rsid w:val="005654AA"/>
    <w:pPr>
      <w:jc w:val="center"/>
    </w:pPr>
    <w:rPr>
      <w:rFonts w:ascii="Arial" w:hAnsi="Arial" w:cs="Arial"/>
      <w:color w:val="0C6DFF" w:themeColor="text1"/>
      <w:sz w:val="56"/>
      <w:szCs w:val="60"/>
    </w:rPr>
  </w:style>
  <w:style w:type="character" w:customStyle="1" w:styleId="TtuloportadaTelefnicaCar">
    <w:name w:val="Título portada Telefónica Car"/>
    <w:basedOn w:val="Fuentedeprrafopredeter"/>
    <w:link w:val="TtuloportadaTelefnica"/>
    <w:uiPriority w:val="9"/>
    <w:rsid w:val="00C556BC"/>
    <w:rPr>
      <w:rFonts w:ascii="Arial" w:hAnsi="Arial" w:cs="Arial"/>
      <w:color w:val="0C6DFF" w:themeColor="text1"/>
      <w:sz w:val="56"/>
      <w:szCs w:val="60"/>
    </w:rPr>
  </w:style>
  <w:style w:type="paragraph" w:customStyle="1" w:styleId="SubtituloportadaTelefnica">
    <w:name w:val="Subtitulo portada Telefónica"/>
    <w:basedOn w:val="Normal"/>
    <w:link w:val="SubtituloportadaTelefnicaCar"/>
    <w:uiPriority w:val="5"/>
    <w:qFormat/>
    <w:rsid w:val="00632322"/>
    <w:pPr>
      <w:spacing w:line="240" w:lineRule="auto"/>
      <w:jc w:val="center"/>
    </w:pPr>
    <w:rPr>
      <w:rFonts w:ascii="Arial" w:hAnsi="Arial" w:cs="Arial"/>
      <w:color w:val="606060" w:themeColor="background1"/>
      <w:sz w:val="28"/>
      <w:szCs w:val="24"/>
    </w:rPr>
  </w:style>
  <w:style w:type="paragraph" w:customStyle="1" w:styleId="NombreyfechaportadaTelefnica">
    <w:name w:val="Nombre y fecha portada Telefónica"/>
    <w:basedOn w:val="Normal"/>
    <w:link w:val="NombreyfechaportadaTelefnicaCar"/>
    <w:uiPriority w:val="5"/>
    <w:qFormat/>
    <w:rsid w:val="00922041"/>
    <w:pPr>
      <w:spacing w:line="192" w:lineRule="auto"/>
      <w:jc w:val="center"/>
    </w:pPr>
    <w:rPr>
      <w:rFonts w:ascii="Arial" w:hAnsi="Arial" w:cs="Arial"/>
      <w:color w:val="606060" w:themeColor="background1"/>
      <w:szCs w:val="18"/>
      <w:lang w:val="en-US"/>
    </w:rPr>
  </w:style>
  <w:style w:type="character" w:customStyle="1" w:styleId="SubtituloportadaTelefnicaCar">
    <w:name w:val="Subtitulo portada Telefónica Car"/>
    <w:basedOn w:val="Fuentedeprrafopredeter"/>
    <w:link w:val="SubtituloportadaTelefnica"/>
    <w:uiPriority w:val="5"/>
    <w:rsid w:val="00C556BC"/>
    <w:rPr>
      <w:rFonts w:ascii="Arial" w:hAnsi="Arial" w:cs="Arial"/>
      <w:color w:val="606060" w:themeColor="background1"/>
      <w:sz w:val="28"/>
      <w:szCs w:val="24"/>
    </w:rPr>
  </w:style>
  <w:style w:type="paragraph" w:customStyle="1" w:styleId="TtulobarralateralTelefnica">
    <w:name w:val="Título barra lateral Telefónica"/>
    <w:basedOn w:val="Normal"/>
    <w:link w:val="TtulobarralateralTelefnicaCar"/>
    <w:uiPriority w:val="9"/>
    <w:qFormat/>
    <w:rsid w:val="00D34D1F"/>
    <w:pPr>
      <w:spacing w:line="240" w:lineRule="auto"/>
    </w:pPr>
    <w:rPr>
      <w:rFonts w:ascii="Arial" w:hAnsi="Arial" w:cs="Arial"/>
      <w:color w:val="0C6DFF" w:themeColor="text1"/>
      <w:sz w:val="28"/>
      <w:szCs w:val="40"/>
    </w:rPr>
  </w:style>
  <w:style w:type="character" w:customStyle="1" w:styleId="NombreyfechaportadaTelefnicaCar">
    <w:name w:val="Nombre y fecha portada Telefónica Car"/>
    <w:basedOn w:val="Fuentedeprrafopredeter"/>
    <w:link w:val="NombreyfechaportadaTelefnica"/>
    <w:uiPriority w:val="5"/>
    <w:rsid w:val="00922041"/>
    <w:rPr>
      <w:rFonts w:ascii="Arial" w:hAnsi="Arial" w:cs="Arial"/>
      <w:color w:val="606060" w:themeColor="background1"/>
      <w:szCs w:val="18"/>
      <w:lang w:val="en-US"/>
    </w:rPr>
  </w:style>
  <w:style w:type="character" w:customStyle="1" w:styleId="TtulobarralateralTelefnicaCar">
    <w:name w:val="Título barra lateral Telefónica Car"/>
    <w:basedOn w:val="Fuentedeprrafopredeter"/>
    <w:link w:val="TtulobarralateralTelefnica"/>
    <w:uiPriority w:val="9"/>
    <w:rsid w:val="00C556BC"/>
    <w:rPr>
      <w:rFonts w:ascii="Arial" w:hAnsi="Arial" w:cs="Arial"/>
      <w:color w:val="0C6DFF" w:themeColor="text1"/>
      <w:sz w:val="28"/>
      <w:szCs w:val="40"/>
    </w:rPr>
  </w:style>
  <w:style w:type="paragraph" w:customStyle="1" w:styleId="TtulopginaTelefnica">
    <w:name w:val="Título página Telefónica"/>
    <w:basedOn w:val="Ttulo1"/>
    <w:next w:val="Normal"/>
    <w:link w:val="TtulopginaTelefnicaCar"/>
    <w:uiPriority w:val="9"/>
    <w:qFormat/>
    <w:rsid w:val="00D73D12"/>
    <w:pPr>
      <w:numPr>
        <w:numId w:val="5"/>
      </w:numPr>
      <w:spacing w:line="240" w:lineRule="auto"/>
    </w:pPr>
    <w:rPr>
      <w:rFonts w:ascii="Arial" w:hAnsi="Arial" w:cs="Arial"/>
      <w:color w:val="0C6DFF" w:themeColor="text1"/>
      <w:szCs w:val="56"/>
    </w:rPr>
  </w:style>
  <w:style w:type="paragraph" w:customStyle="1" w:styleId="SubttulopginaTelefnica">
    <w:name w:val="Subtítulo página Telefónica"/>
    <w:basedOn w:val="Ttulo2"/>
    <w:next w:val="Normal"/>
    <w:link w:val="SubttulopginaTelefnicaCar"/>
    <w:uiPriority w:val="5"/>
    <w:qFormat/>
    <w:rsid w:val="00542851"/>
    <w:pPr>
      <w:numPr>
        <w:numId w:val="12"/>
      </w:numPr>
      <w:spacing w:before="240" w:line="240" w:lineRule="auto"/>
      <w:ind w:left="856" w:hanging="431"/>
    </w:pPr>
    <w:rPr>
      <w:rFonts w:ascii="Arial" w:hAnsi="Arial" w:cs="Arial"/>
      <w:b w:val="0"/>
      <w:bCs/>
    </w:rPr>
  </w:style>
  <w:style w:type="character" w:customStyle="1" w:styleId="TtulopginaTelefnicaCar">
    <w:name w:val="Título página Telefónica Car"/>
    <w:basedOn w:val="Fuentedeprrafopredeter"/>
    <w:link w:val="TtulopginaTelefnica"/>
    <w:uiPriority w:val="9"/>
    <w:rsid w:val="00C556BC"/>
    <w:rPr>
      <w:rFonts w:ascii="Arial" w:eastAsiaTheme="majorEastAsia" w:hAnsi="Arial" w:cs="Arial"/>
      <w:color w:val="0C6DFF" w:themeColor="text1"/>
      <w:sz w:val="36"/>
      <w:szCs w:val="56"/>
    </w:rPr>
  </w:style>
  <w:style w:type="paragraph" w:customStyle="1" w:styleId="PrrafoTelefnica">
    <w:name w:val="Párrafo Telefónica"/>
    <w:basedOn w:val="Normal"/>
    <w:next w:val="Normal"/>
    <w:link w:val="PrrafoTelefnicaCar"/>
    <w:uiPriority w:val="5"/>
    <w:qFormat/>
    <w:rsid w:val="0048408C"/>
    <w:pPr>
      <w:spacing w:before="120" w:after="240" w:line="288" w:lineRule="auto"/>
    </w:pPr>
    <w:rPr>
      <w:rFonts w:ascii="Arial" w:hAnsi="Arial" w:cs="Arial"/>
      <w:color w:val="606060" w:themeColor="background1"/>
      <w:szCs w:val="24"/>
      <w:lang w:val="es-ES_tradnl"/>
    </w:rPr>
  </w:style>
  <w:style w:type="character" w:customStyle="1" w:styleId="SubttulopginaTelefnicaCar">
    <w:name w:val="Subtítulo página Telefónica Car"/>
    <w:basedOn w:val="Fuentedeprrafopredeter"/>
    <w:link w:val="SubttulopginaTelefnica"/>
    <w:uiPriority w:val="5"/>
    <w:rsid w:val="00C556BC"/>
    <w:rPr>
      <w:rFonts w:ascii="Arial" w:eastAsiaTheme="majorEastAsia" w:hAnsi="Arial" w:cs="Arial"/>
      <w:b/>
      <w:bCs/>
      <w:color w:val="606060"/>
      <w:sz w:val="24"/>
      <w:szCs w:val="26"/>
    </w:rPr>
  </w:style>
  <w:style w:type="paragraph" w:customStyle="1" w:styleId="TelefnicaTamao9">
    <w:name w:val="Telefónica Tamaño 9"/>
    <w:basedOn w:val="Encabezado"/>
    <w:link w:val="TelefnicaTamao9Car"/>
    <w:uiPriority w:val="9"/>
    <w:rsid w:val="00952BF2"/>
    <w:pPr>
      <w:jc w:val="center"/>
    </w:pPr>
    <w:rPr>
      <w:rFonts w:ascii="Arial" w:eastAsia="Arial" w:hAnsi="Arial" w:cs="Arial"/>
      <w:color w:val="0C6DFF" w:themeColor="text1"/>
      <w:kern w:val="24"/>
      <w:sz w:val="18"/>
      <w:lang w:val="es-ES_tradnl"/>
    </w:rPr>
  </w:style>
  <w:style w:type="character" w:customStyle="1" w:styleId="PrrafoTelefnicaCar">
    <w:name w:val="Párrafo Telefónica Car"/>
    <w:basedOn w:val="Fuentedeprrafopredeter"/>
    <w:link w:val="PrrafoTelefnica"/>
    <w:uiPriority w:val="5"/>
    <w:rsid w:val="0048408C"/>
    <w:rPr>
      <w:rFonts w:ascii="Arial" w:hAnsi="Arial" w:cs="Arial"/>
      <w:color w:val="606060" w:themeColor="background1"/>
      <w:szCs w:val="24"/>
      <w:lang w:val="es-ES_tradnl"/>
    </w:rPr>
  </w:style>
  <w:style w:type="paragraph" w:customStyle="1" w:styleId="Telefnicatamao10">
    <w:name w:val="Telefónica tamaño 10"/>
    <w:basedOn w:val="Normal"/>
    <w:link w:val="Telefnicatamao10Car"/>
    <w:uiPriority w:val="9"/>
    <w:rsid w:val="005664C8"/>
    <w:pPr>
      <w:spacing w:line="240" w:lineRule="auto"/>
    </w:pPr>
    <w:rPr>
      <w:rFonts w:ascii="Arial" w:hAnsi="Arial" w:cs="Arial"/>
      <w:color w:val="606060" w:themeColor="background1"/>
      <w:szCs w:val="24"/>
    </w:rPr>
  </w:style>
  <w:style w:type="character" w:customStyle="1" w:styleId="TelefnicaTamao9Car">
    <w:name w:val="Telefónica Tamaño 9 Car"/>
    <w:basedOn w:val="EncabezadoCar"/>
    <w:link w:val="TelefnicaTamao9"/>
    <w:uiPriority w:val="9"/>
    <w:rsid w:val="00C556BC"/>
    <w:rPr>
      <w:rFonts w:ascii="Arial" w:eastAsia="Arial" w:hAnsi="Arial" w:cs="Arial"/>
      <w:color w:val="0C6DFF" w:themeColor="text1"/>
      <w:kern w:val="24"/>
      <w:sz w:val="18"/>
      <w:lang w:val="es-ES_tradnl"/>
    </w:rPr>
  </w:style>
  <w:style w:type="character" w:customStyle="1" w:styleId="Telefnicatamao10Car">
    <w:name w:val="Telefónica tamaño 10 Car"/>
    <w:basedOn w:val="Fuentedeprrafopredeter"/>
    <w:link w:val="Telefnicatamao10"/>
    <w:uiPriority w:val="9"/>
    <w:rsid w:val="00C556BC"/>
    <w:rPr>
      <w:rFonts w:ascii="Arial" w:hAnsi="Arial" w:cs="Arial"/>
      <w:color w:val="606060" w:themeColor="background1"/>
      <w:szCs w:val="24"/>
    </w:rPr>
  </w:style>
  <w:style w:type="paragraph" w:customStyle="1" w:styleId="DestacadoTelefnica">
    <w:name w:val="Destacado Telefónica"/>
    <w:basedOn w:val="PrrafoTelefnica"/>
    <w:link w:val="DestacadoTelefnicaCar"/>
    <w:uiPriority w:val="6"/>
    <w:qFormat/>
    <w:rsid w:val="006E642E"/>
    <w:rPr>
      <w:color w:val="606060"/>
      <w:sz w:val="44"/>
      <w:szCs w:val="48"/>
    </w:rPr>
  </w:style>
  <w:style w:type="paragraph" w:customStyle="1" w:styleId="TabladestacadoscolumnasTelefnica">
    <w:name w:val="Tabla destacados columnas Telefónica"/>
    <w:basedOn w:val="Normal"/>
    <w:link w:val="TabladestacadoscolumnasTelefnicaCar"/>
    <w:uiPriority w:val="5"/>
    <w:qFormat/>
    <w:rsid w:val="005664C8"/>
    <w:pPr>
      <w:framePr w:hSpace="141" w:wrap="around" w:vAnchor="page" w:hAnchor="margin" w:xAlign="center" w:y="5180"/>
      <w:spacing w:after="0" w:line="240" w:lineRule="auto"/>
      <w:jc w:val="center"/>
    </w:pPr>
    <w:rPr>
      <w:rFonts w:ascii="Arial" w:hAnsi="Arial" w:cs="Arial"/>
      <w:b/>
      <w:bCs/>
      <w:color w:val="0C6DFF" w:themeColor="text1"/>
      <w:szCs w:val="24"/>
    </w:rPr>
  </w:style>
  <w:style w:type="character" w:customStyle="1" w:styleId="DestacadoTelefnicaCar">
    <w:name w:val="Destacado Telefónica Car"/>
    <w:basedOn w:val="PrrafoTelefnicaCar"/>
    <w:link w:val="DestacadoTelefnica"/>
    <w:uiPriority w:val="6"/>
    <w:rsid w:val="00C556BC"/>
    <w:rPr>
      <w:rFonts w:ascii="Arial" w:hAnsi="Arial" w:cs="Arial"/>
      <w:color w:val="606060"/>
      <w:sz w:val="44"/>
      <w:szCs w:val="48"/>
      <w:lang w:val="es-ES_tradnl"/>
    </w:rPr>
  </w:style>
  <w:style w:type="paragraph" w:customStyle="1" w:styleId="TabladestacadofilasTelefnica">
    <w:name w:val="Tabla destacado filas Telefónica"/>
    <w:basedOn w:val="Normal"/>
    <w:link w:val="TabladestacadofilasTelefnicaCar"/>
    <w:uiPriority w:val="5"/>
    <w:qFormat/>
    <w:rsid w:val="005664C8"/>
    <w:pPr>
      <w:framePr w:hSpace="141" w:wrap="around" w:vAnchor="page" w:hAnchor="margin" w:xAlign="center" w:y="5180"/>
      <w:spacing w:after="0" w:line="240" w:lineRule="auto"/>
    </w:pPr>
    <w:rPr>
      <w:rFonts w:ascii="Arial" w:hAnsi="Arial" w:cs="Arial"/>
      <w:b/>
      <w:bCs/>
      <w:color w:val="0C6DFF" w:themeColor="text1"/>
      <w:szCs w:val="24"/>
    </w:rPr>
  </w:style>
  <w:style w:type="character" w:customStyle="1" w:styleId="TabladestacadoscolumnasTelefnicaCar">
    <w:name w:val="Tabla destacados columnas Telefónica Car"/>
    <w:basedOn w:val="Fuentedeprrafopredeter"/>
    <w:link w:val="TabladestacadoscolumnasTelefnica"/>
    <w:uiPriority w:val="5"/>
    <w:rsid w:val="00C556BC"/>
    <w:rPr>
      <w:rFonts w:ascii="Arial" w:hAnsi="Arial" w:cs="Arial"/>
      <w:b/>
      <w:bCs/>
      <w:color w:val="0C6DFF" w:themeColor="text1"/>
      <w:szCs w:val="24"/>
    </w:rPr>
  </w:style>
  <w:style w:type="paragraph" w:customStyle="1" w:styleId="TablacontenidoTelefnica">
    <w:name w:val="Tabla contenido Telefónica"/>
    <w:basedOn w:val="NombreyfechaportadaTelefnica"/>
    <w:link w:val="TablacontenidoTelefnicaCar"/>
    <w:uiPriority w:val="5"/>
    <w:qFormat/>
    <w:rsid w:val="002B3FDF"/>
    <w:pPr>
      <w:framePr w:hSpace="141" w:wrap="around" w:vAnchor="page" w:hAnchor="margin" w:xAlign="center" w:y="5180"/>
      <w:spacing w:after="0"/>
    </w:pPr>
    <w:rPr>
      <w:color w:val="606060"/>
    </w:rPr>
  </w:style>
  <w:style w:type="character" w:customStyle="1" w:styleId="TabladestacadofilasTelefnicaCar">
    <w:name w:val="Tabla destacado filas Telefónica Car"/>
    <w:basedOn w:val="Fuentedeprrafopredeter"/>
    <w:link w:val="TabladestacadofilasTelefnica"/>
    <w:uiPriority w:val="5"/>
    <w:rsid w:val="00C556BC"/>
    <w:rPr>
      <w:rFonts w:ascii="Arial" w:hAnsi="Arial" w:cs="Arial"/>
      <w:b/>
      <w:bCs/>
      <w:color w:val="0C6DFF" w:themeColor="text1"/>
      <w:szCs w:val="24"/>
    </w:rPr>
  </w:style>
  <w:style w:type="character" w:customStyle="1" w:styleId="TablacontenidoTelefnicaCar">
    <w:name w:val="Tabla contenido Telefónica Car"/>
    <w:basedOn w:val="NombreyfechaportadaTelefnicaCar"/>
    <w:link w:val="TablacontenidoTelefnica"/>
    <w:uiPriority w:val="5"/>
    <w:rsid w:val="00C556BC"/>
    <w:rPr>
      <w:rFonts w:ascii="Arial" w:hAnsi="Arial" w:cs="Arial"/>
      <w:color w:val="606060"/>
      <w:szCs w:val="18"/>
      <w:lang w:val="en-US"/>
    </w:rPr>
  </w:style>
  <w:style w:type="numbering" w:customStyle="1" w:styleId="Estilo1">
    <w:name w:val="Estilo1"/>
    <w:uiPriority w:val="99"/>
    <w:rsid w:val="00980D9D"/>
    <w:pPr>
      <w:numPr>
        <w:numId w:val="8"/>
      </w:numPr>
    </w:pPr>
  </w:style>
  <w:style w:type="numbering" w:customStyle="1" w:styleId="Estilo2">
    <w:name w:val="Estilo2"/>
    <w:uiPriority w:val="99"/>
    <w:rsid w:val="00980D9D"/>
    <w:pPr>
      <w:numPr>
        <w:numId w:val="11"/>
      </w:numPr>
    </w:pPr>
  </w:style>
  <w:style w:type="numbering" w:customStyle="1" w:styleId="Estilo3">
    <w:name w:val="Estilo3"/>
    <w:uiPriority w:val="99"/>
    <w:rsid w:val="004426D6"/>
    <w:pPr>
      <w:numPr>
        <w:numId w:val="13"/>
      </w:numPr>
    </w:pPr>
  </w:style>
  <w:style w:type="character" w:customStyle="1" w:styleId="Ttulo1Car">
    <w:name w:val="Título 1 Car"/>
    <w:basedOn w:val="Fuentedeprrafopredeter"/>
    <w:link w:val="Ttulo1"/>
    <w:rsid w:val="008C6592"/>
    <w:rPr>
      <w:rFonts w:asciiTheme="majorHAnsi" w:eastAsiaTheme="majorEastAsia" w:hAnsiTheme="majorHAnsi" w:cstheme="majorBidi"/>
      <w:color w:val="0C6DFF"/>
      <w:sz w:val="36"/>
      <w:szCs w:val="32"/>
    </w:rPr>
  </w:style>
  <w:style w:type="paragraph" w:styleId="TDC1">
    <w:name w:val="toc 1"/>
    <w:basedOn w:val="Normal"/>
    <w:next w:val="Normal"/>
    <w:autoRedefine/>
    <w:uiPriority w:val="39"/>
    <w:unhideWhenUsed/>
    <w:qFormat/>
    <w:rsid w:val="00FB4514"/>
    <w:pPr>
      <w:tabs>
        <w:tab w:val="left" w:pos="454"/>
        <w:tab w:val="right" w:leader="dot" w:pos="8494"/>
      </w:tabs>
      <w:spacing w:before="240" w:after="120"/>
    </w:pPr>
    <w:rPr>
      <w:rFonts w:cstheme="minorHAnsi"/>
      <w:b/>
      <w:bCs/>
      <w:noProof/>
      <w:color w:val="E81A3B"/>
      <w:szCs w:val="20"/>
      <w14:scene3d>
        <w14:camera w14:prst="orthographicFront"/>
        <w14:lightRig w14:rig="threePt" w14:dir="t">
          <w14:rot w14:lat="0" w14:lon="0" w14:rev="0"/>
        </w14:lightRig>
      </w14:scene3d>
    </w:rPr>
  </w:style>
  <w:style w:type="paragraph" w:styleId="TtuloTDC">
    <w:name w:val="TOC Heading"/>
    <w:aliases w:val="Título índice"/>
    <w:basedOn w:val="Ttulo1"/>
    <w:next w:val="Normal"/>
    <w:uiPriority w:val="39"/>
    <w:unhideWhenUsed/>
    <w:qFormat/>
    <w:rsid w:val="005664C8"/>
    <w:pPr>
      <w:outlineLvl w:val="9"/>
    </w:pPr>
    <w:rPr>
      <w:color w:val="0C6DFF" w:themeColor="text1"/>
      <w:lang w:eastAsia="es-ES"/>
    </w:rPr>
  </w:style>
  <w:style w:type="paragraph" w:styleId="ndice1">
    <w:name w:val="index 1"/>
    <w:basedOn w:val="Normal"/>
    <w:next w:val="Normal"/>
    <w:autoRedefine/>
    <w:uiPriority w:val="99"/>
    <w:semiHidden/>
    <w:unhideWhenUsed/>
    <w:rsid w:val="00082C98"/>
    <w:pPr>
      <w:spacing w:after="0" w:line="240" w:lineRule="auto"/>
      <w:ind w:left="220" w:hanging="220"/>
    </w:pPr>
  </w:style>
  <w:style w:type="paragraph" w:styleId="TDC2">
    <w:name w:val="toc 2"/>
    <w:basedOn w:val="Normal"/>
    <w:next w:val="Normal"/>
    <w:autoRedefine/>
    <w:uiPriority w:val="39"/>
    <w:unhideWhenUsed/>
    <w:qFormat/>
    <w:rsid w:val="00542851"/>
    <w:pPr>
      <w:spacing w:before="120" w:after="0"/>
      <w:ind w:left="454"/>
    </w:pPr>
    <w:rPr>
      <w:rFonts w:cstheme="minorHAnsi"/>
      <w:iCs/>
      <w:color w:val="606060" w:themeColor="background1"/>
      <w:szCs w:val="20"/>
    </w:rPr>
  </w:style>
  <w:style w:type="character" w:styleId="Hipervnculo">
    <w:name w:val="Hyperlink"/>
    <w:basedOn w:val="Fuentedeprrafopredeter"/>
    <w:uiPriority w:val="99"/>
    <w:unhideWhenUsed/>
    <w:rsid w:val="00F048C4"/>
    <w:rPr>
      <w:color w:val="59C2C9" w:themeColor="hyperlink"/>
      <w:u w:val="single"/>
    </w:rPr>
  </w:style>
  <w:style w:type="paragraph" w:styleId="TDC3">
    <w:name w:val="toc 3"/>
    <w:basedOn w:val="Normal"/>
    <w:next w:val="Normal"/>
    <w:autoRedefine/>
    <w:uiPriority w:val="39"/>
    <w:unhideWhenUsed/>
    <w:rsid w:val="00E27720"/>
    <w:pPr>
      <w:suppressAutoHyphens/>
      <w:spacing w:after="0"/>
      <w:ind w:left="907" w:firstLine="1134"/>
    </w:pPr>
    <w:rPr>
      <w:rFonts w:cstheme="minorHAnsi"/>
      <w:color w:val="606060" w:themeColor="background1"/>
      <w:szCs w:val="20"/>
    </w:rPr>
  </w:style>
  <w:style w:type="character" w:customStyle="1" w:styleId="Ttulo2Car">
    <w:name w:val="Título 2 Car"/>
    <w:basedOn w:val="Fuentedeprrafopredeter"/>
    <w:link w:val="Ttulo2"/>
    <w:uiPriority w:val="1"/>
    <w:rsid w:val="008C6592"/>
    <w:rPr>
      <w:rFonts w:asciiTheme="majorHAnsi" w:eastAsiaTheme="majorEastAsia" w:hAnsiTheme="majorHAnsi" w:cstheme="majorBidi"/>
      <w:b/>
      <w:color w:val="606060"/>
      <w:sz w:val="24"/>
      <w:szCs w:val="26"/>
    </w:rPr>
  </w:style>
  <w:style w:type="paragraph" w:styleId="TDC4">
    <w:name w:val="toc 4"/>
    <w:basedOn w:val="Normal"/>
    <w:next w:val="Normal"/>
    <w:autoRedefine/>
    <w:uiPriority w:val="39"/>
    <w:unhideWhenUsed/>
    <w:rsid w:val="00034D7E"/>
    <w:pPr>
      <w:spacing w:after="0"/>
      <w:ind w:left="1111"/>
    </w:pPr>
    <w:rPr>
      <w:rFonts w:cstheme="minorHAnsi"/>
      <w:color w:val="606060" w:themeColor="background1"/>
      <w:szCs w:val="20"/>
    </w:rPr>
  </w:style>
  <w:style w:type="paragraph" w:styleId="TDC5">
    <w:name w:val="toc 5"/>
    <w:basedOn w:val="Normal"/>
    <w:next w:val="Normal"/>
    <w:autoRedefine/>
    <w:uiPriority w:val="39"/>
    <w:unhideWhenUsed/>
    <w:rsid w:val="007661A7"/>
    <w:pPr>
      <w:spacing w:after="0"/>
      <w:ind w:left="880"/>
    </w:pPr>
    <w:rPr>
      <w:rFonts w:cstheme="minorHAnsi"/>
      <w:sz w:val="20"/>
      <w:szCs w:val="20"/>
    </w:rPr>
  </w:style>
  <w:style w:type="paragraph" w:styleId="TDC6">
    <w:name w:val="toc 6"/>
    <w:basedOn w:val="Normal"/>
    <w:next w:val="Normal"/>
    <w:autoRedefine/>
    <w:uiPriority w:val="39"/>
    <w:unhideWhenUsed/>
    <w:rsid w:val="007661A7"/>
    <w:pPr>
      <w:spacing w:after="0"/>
      <w:ind w:left="1100"/>
    </w:pPr>
    <w:rPr>
      <w:rFonts w:cstheme="minorHAnsi"/>
      <w:sz w:val="20"/>
      <w:szCs w:val="20"/>
    </w:rPr>
  </w:style>
  <w:style w:type="paragraph" w:styleId="TDC7">
    <w:name w:val="toc 7"/>
    <w:basedOn w:val="Normal"/>
    <w:next w:val="Normal"/>
    <w:autoRedefine/>
    <w:uiPriority w:val="39"/>
    <w:unhideWhenUsed/>
    <w:rsid w:val="007661A7"/>
    <w:pPr>
      <w:spacing w:after="0"/>
      <w:ind w:left="1320"/>
    </w:pPr>
    <w:rPr>
      <w:rFonts w:cstheme="minorHAnsi"/>
      <w:sz w:val="20"/>
      <w:szCs w:val="20"/>
    </w:rPr>
  </w:style>
  <w:style w:type="paragraph" w:styleId="TDC8">
    <w:name w:val="toc 8"/>
    <w:basedOn w:val="Normal"/>
    <w:next w:val="Normal"/>
    <w:autoRedefine/>
    <w:uiPriority w:val="39"/>
    <w:unhideWhenUsed/>
    <w:rsid w:val="007661A7"/>
    <w:pPr>
      <w:spacing w:after="0"/>
      <w:ind w:left="1540"/>
    </w:pPr>
    <w:rPr>
      <w:rFonts w:cstheme="minorHAnsi"/>
      <w:sz w:val="20"/>
      <w:szCs w:val="20"/>
    </w:rPr>
  </w:style>
  <w:style w:type="paragraph" w:styleId="TDC9">
    <w:name w:val="toc 9"/>
    <w:basedOn w:val="Normal"/>
    <w:next w:val="Normal"/>
    <w:autoRedefine/>
    <w:uiPriority w:val="39"/>
    <w:unhideWhenUsed/>
    <w:rsid w:val="007661A7"/>
    <w:pPr>
      <w:spacing w:after="0"/>
      <w:ind w:left="1760"/>
    </w:pPr>
    <w:rPr>
      <w:rFonts w:cstheme="minorHAnsi"/>
      <w:sz w:val="20"/>
      <w:szCs w:val="20"/>
    </w:rPr>
  </w:style>
  <w:style w:type="paragraph" w:customStyle="1" w:styleId="Cabecera">
    <w:name w:val="Cabecera"/>
    <w:basedOn w:val="NombreyfechaportadaTelefnica"/>
    <w:link w:val="CabeceraCar"/>
    <w:autoRedefine/>
    <w:uiPriority w:val="5"/>
    <w:qFormat/>
    <w:rsid w:val="0038087E"/>
    <w:pPr>
      <w:spacing w:before="120"/>
      <w:jc w:val="left"/>
    </w:pPr>
    <w:rPr>
      <w:color w:val="9F9F9F" w:themeColor="background1" w:themeTint="99"/>
      <w:sz w:val="18"/>
    </w:rPr>
  </w:style>
  <w:style w:type="character" w:customStyle="1" w:styleId="CabeceraCar">
    <w:name w:val="Cabecera Car"/>
    <w:basedOn w:val="NombreyfechaportadaTelefnicaCar"/>
    <w:link w:val="Cabecera"/>
    <w:uiPriority w:val="5"/>
    <w:rsid w:val="00C556BC"/>
    <w:rPr>
      <w:rFonts w:ascii="Arial" w:hAnsi="Arial" w:cs="Arial"/>
      <w:color w:val="9F9F9F" w:themeColor="background1" w:themeTint="99"/>
      <w:sz w:val="18"/>
      <w:szCs w:val="18"/>
      <w:lang w:val="en-US"/>
    </w:rPr>
  </w:style>
  <w:style w:type="paragraph" w:customStyle="1" w:styleId="SalidadeConsola">
    <w:name w:val="Salida de Consola"/>
    <w:basedOn w:val="Normal"/>
    <w:next w:val="PrrafoTelefnica"/>
    <w:link w:val="SalidadeConsolaCar"/>
    <w:autoRedefine/>
    <w:uiPriority w:val="3"/>
    <w:qFormat/>
    <w:rsid w:val="00775BAD"/>
    <w:pPr>
      <w:spacing w:after="0" w:line="240" w:lineRule="auto"/>
    </w:pPr>
    <w:rPr>
      <w:rFonts w:ascii="Consolas" w:hAnsi="Consolas" w:cs="Arial"/>
      <w:color w:val="9D83A3" w:themeColor="accent3"/>
      <w:spacing w:val="-20"/>
      <w:szCs w:val="24"/>
    </w:rPr>
  </w:style>
  <w:style w:type="paragraph" w:customStyle="1" w:styleId="Resaltadomonoespaciado">
    <w:name w:val="Resaltado monoespaciado"/>
    <w:basedOn w:val="SalidadeConsola"/>
    <w:link w:val="ResaltadomonoespaciadoCar"/>
    <w:autoRedefine/>
    <w:uiPriority w:val="4"/>
    <w:qFormat/>
    <w:rsid w:val="00941530"/>
    <w:rPr>
      <w:color w:val="007635"/>
    </w:rPr>
  </w:style>
  <w:style w:type="character" w:customStyle="1" w:styleId="SalidadeConsolaCar">
    <w:name w:val="Salida de Consola Car"/>
    <w:basedOn w:val="PrrafoTelefnicaCar"/>
    <w:link w:val="SalidadeConsola"/>
    <w:uiPriority w:val="3"/>
    <w:rsid w:val="00775BAD"/>
    <w:rPr>
      <w:rFonts w:ascii="Consolas" w:hAnsi="Consolas" w:cs="Arial"/>
      <w:color w:val="9D83A3" w:themeColor="accent3"/>
      <w:spacing w:val="-20"/>
      <w:szCs w:val="24"/>
      <w:lang w:val="es-ES_tradnl"/>
    </w:rPr>
  </w:style>
  <w:style w:type="paragraph" w:customStyle="1" w:styleId="IndicePiepgina">
    <w:name w:val="Indice Pie página"/>
    <w:basedOn w:val="Piedepgina"/>
    <w:link w:val="IndicePiepginaCar"/>
    <w:autoRedefine/>
    <w:uiPriority w:val="5"/>
    <w:qFormat/>
    <w:rsid w:val="00283CEB"/>
    <w:pPr>
      <w:jc w:val="right"/>
    </w:pPr>
    <w:rPr>
      <w:color w:val="9F9F9F" w:themeColor="background1" w:themeTint="99"/>
      <w:sz w:val="20"/>
    </w:rPr>
  </w:style>
  <w:style w:type="character" w:customStyle="1" w:styleId="ResaltadomonoespaciadoCar">
    <w:name w:val="Resaltado monoespaciado Car"/>
    <w:basedOn w:val="SalidadeConsolaCar"/>
    <w:link w:val="Resaltadomonoespaciado"/>
    <w:uiPriority w:val="4"/>
    <w:rsid w:val="00941530"/>
    <w:rPr>
      <w:rFonts w:ascii="Consolas" w:hAnsi="Consolas" w:cs="Arial"/>
      <w:color w:val="007635"/>
      <w:spacing w:val="-20"/>
      <w:szCs w:val="24"/>
      <w:lang w:val="es-ES_tradnl"/>
    </w:rPr>
  </w:style>
  <w:style w:type="paragraph" w:customStyle="1" w:styleId="EstiloCabecera">
    <w:name w:val="Estilo Cabecera"/>
    <w:basedOn w:val="Encabezado"/>
    <w:link w:val="EstiloCabeceraCar"/>
    <w:autoRedefine/>
    <w:uiPriority w:val="5"/>
    <w:qFormat/>
    <w:rsid w:val="006772F1"/>
    <w:pPr>
      <w:jc w:val="center"/>
    </w:pPr>
    <w:rPr>
      <w:rFonts w:ascii="Arial" w:hAnsi="Arial" w:cs="Arial"/>
      <w:color w:val="808080" w:themeColor="background2" w:themeShade="80"/>
      <w:sz w:val="20"/>
      <w:szCs w:val="20"/>
    </w:rPr>
  </w:style>
  <w:style w:type="character" w:customStyle="1" w:styleId="IndicePiepginaCar">
    <w:name w:val="Indice Pie página Car"/>
    <w:basedOn w:val="PiedepginaCar"/>
    <w:link w:val="IndicePiepgina"/>
    <w:uiPriority w:val="5"/>
    <w:rsid w:val="00283CEB"/>
    <w:rPr>
      <w:color w:val="9F9F9F" w:themeColor="background1" w:themeTint="99"/>
      <w:sz w:val="20"/>
    </w:rPr>
  </w:style>
  <w:style w:type="character" w:customStyle="1" w:styleId="EstiloCabeceraCar">
    <w:name w:val="Estilo Cabecera Car"/>
    <w:basedOn w:val="EncabezadoCar"/>
    <w:link w:val="EstiloCabecera"/>
    <w:uiPriority w:val="5"/>
    <w:rsid w:val="006772F1"/>
    <w:rPr>
      <w:rFonts w:ascii="Arial" w:hAnsi="Arial" w:cs="Arial"/>
      <w:color w:val="808080" w:themeColor="background2" w:themeShade="80"/>
      <w:sz w:val="20"/>
      <w:szCs w:val="20"/>
    </w:rPr>
  </w:style>
  <w:style w:type="paragraph" w:customStyle="1" w:styleId="CabeceraDatos">
    <w:name w:val="Cabecera Datos"/>
    <w:basedOn w:val="Normal"/>
    <w:link w:val="CabeceraDatosCar"/>
    <w:autoRedefine/>
    <w:uiPriority w:val="5"/>
    <w:qFormat/>
    <w:rsid w:val="0078456D"/>
    <w:pPr>
      <w:spacing w:line="240" w:lineRule="auto"/>
    </w:pPr>
    <w:rPr>
      <w:i/>
      <w:iCs/>
      <w:color w:val="808080" w:themeColor="background2" w:themeShade="80"/>
      <w:sz w:val="18"/>
    </w:rPr>
  </w:style>
  <w:style w:type="character" w:customStyle="1" w:styleId="URL">
    <w:name w:val="URL"/>
    <w:basedOn w:val="Fuentedeprrafopredeter"/>
    <w:uiPriority w:val="1"/>
    <w:qFormat/>
    <w:rsid w:val="00F50800"/>
    <w:rPr>
      <w:rFonts w:asciiTheme="minorHAnsi" w:hAnsiTheme="minorHAnsi" w:cs="Arial"/>
      <w:noProof/>
      <w:color w:val="005DE6"/>
      <w:kern w:val="24"/>
      <w:sz w:val="24"/>
      <w:lang w:val="en-US"/>
    </w:rPr>
  </w:style>
  <w:style w:type="character" w:customStyle="1" w:styleId="CabeceraDatosCar">
    <w:name w:val="Cabecera Datos Car"/>
    <w:basedOn w:val="Fuentedeprrafopredeter"/>
    <w:link w:val="CabeceraDatos"/>
    <w:uiPriority w:val="5"/>
    <w:rsid w:val="0078456D"/>
    <w:rPr>
      <w:i/>
      <w:iCs/>
      <w:color w:val="808080" w:themeColor="background2" w:themeShade="80"/>
      <w:sz w:val="18"/>
    </w:rPr>
  </w:style>
  <w:style w:type="table" w:customStyle="1" w:styleId="EstiloTabla">
    <w:name w:val="Estilo Tabla"/>
    <w:basedOn w:val="Tablanormal"/>
    <w:uiPriority w:val="99"/>
    <w:rsid w:val="00873D9A"/>
    <w:pPr>
      <w:spacing w:after="0" w:line="240" w:lineRule="auto"/>
    </w:pPr>
    <w:tblPr/>
  </w:style>
  <w:style w:type="table" w:customStyle="1" w:styleId="TablaTelefonica">
    <w:name w:val="TablaTelefonica"/>
    <w:basedOn w:val="Tablanormal"/>
    <w:uiPriority w:val="99"/>
    <w:rsid w:val="002C550D"/>
    <w:pPr>
      <w:spacing w:after="0" w:line="360" w:lineRule="auto"/>
      <w:jc w:val="center"/>
    </w:pPr>
    <w:rPr>
      <w:rFonts w:ascii="Arial" w:hAnsi="Arial"/>
    </w:rPr>
    <w:tblPr>
      <w:tblBorders>
        <w:top w:val="single" w:sz="2" w:space="0" w:color="D9D9D9" w:themeColor="background2" w:themeShade="D9"/>
        <w:left w:val="single" w:sz="2" w:space="0" w:color="D9D9D9" w:themeColor="background2" w:themeShade="D9"/>
        <w:bottom w:val="single" w:sz="2" w:space="0" w:color="D9D9D9" w:themeColor="background2" w:themeShade="D9"/>
        <w:right w:val="single" w:sz="2" w:space="0" w:color="D9D9D9" w:themeColor="background2" w:themeShade="D9"/>
        <w:insideH w:val="single" w:sz="2" w:space="0" w:color="D9D9D9" w:themeColor="background2" w:themeShade="D9"/>
        <w:insideV w:val="single" w:sz="2" w:space="0" w:color="D9D9D9" w:themeColor="background2" w:themeShade="D9"/>
      </w:tblBorders>
    </w:tblPr>
    <w:tcPr>
      <w:vAlign w:val="center"/>
    </w:tcPr>
    <w:tblStylePr w:type="firstRow">
      <w:pPr>
        <w:wordWrap/>
        <w:jc w:val="center"/>
      </w:pPr>
      <w:rPr>
        <w:rFonts w:ascii="Arial" w:hAnsi="Arial"/>
        <w:b/>
        <w:i w:val="0"/>
        <w:color w:val="0C6DFF"/>
        <w:sz w:val="22"/>
      </w:rPr>
      <w:tblPr/>
      <w:tcPr>
        <w:tcBorders>
          <w:top w:val="single" w:sz="2" w:space="0" w:color="BFBFBF" w:themeColor="background2" w:themeShade="BF"/>
          <w:left w:val="single" w:sz="2" w:space="0" w:color="BFBFBF" w:themeColor="background2" w:themeShade="BF"/>
          <w:bottom w:val="single" w:sz="2" w:space="0" w:color="BFBFBF" w:themeColor="background2" w:themeShade="BF"/>
          <w:right w:val="single" w:sz="2" w:space="0" w:color="BFBFBF" w:themeColor="background2" w:themeShade="BF"/>
          <w:insideH w:val="single" w:sz="2" w:space="0" w:color="BFBFBF" w:themeColor="background2" w:themeShade="BF"/>
          <w:insideV w:val="single" w:sz="2" w:space="0" w:color="BFBFBF" w:themeColor="background2" w:themeShade="BF"/>
          <w:tl2br w:val="nil"/>
          <w:tr2bl w:val="nil"/>
        </w:tcBorders>
      </w:tcPr>
    </w:tblStylePr>
    <w:tblStylePr w:type="lastRow">
      <w:rPr>
        <w:rFonts w:ascii="Arial" w:hAnsi="Arial"/>
        <w:b/>
        <w:sz w:val="22"/>
      </w:rPr>
    </w:tblStylePr>
    <w:tblStylePr w:type="firstCol">
      <w:pPr>
        <w:jc w:val="left"/>
      </w:pPr>
      <w:rPr>
        <w:rFonts w:ascii="Arial" w:hAnsi="Arial"/>
        <w:b/>
        <w:i w:val="0"/>
        <w:color w:val="0C6DFF" w:themeColor="text1"/>
        <w:sz w:val="22"/>
      </w:rPr>
    </w:tblStylePr>
  </w:style>
  <w:style w:type="table" w:styleId="Tablaconcuadrcula1clara">
    <w:name w:val="Grid Table 1 Light"/>
    <w:basedOn w:val="Tablanormal"/>
    <w:uiPriority w:val="46"/>
    <w:rsid w:val="00E75CD6"/>
    <w:pPr>
      <w:spacing w:after="0" w:line="240" w:lineRule="auto"/>
    </w:pPr>
    <w:tblPr>
      <w:tblStyleRowBandSize w:val="1"/>
      <w:tblStyleColBandSize w:val="1"/>
      <w:tblBorders>
        <w:top w:val="single" w:sz="4" w:space="0" w:color="9DC4FF" w:themeColor="text1" w:themeTint="66"/>
        <w:left w:val="single" w:sz="4" w:space="0" w:color="9DC4FF" w:themeColor="text1" w:themeTint="66"/>
        <w:bottom w:val="single" w:sz="4" w:space="0" w:color="9DC4FF" w:themeColor="text1" w:themeTint="66"/>
        <w:right w:val="single" w:sz="4" w:space="0" w:color="9DC4FF" w:themeColor="text1" w:themeTint="66"/>
        <w:insideH w:val="single" w:sz="4" w:space="0" w:color="9DC4FF" w:themeColor="text1" w:themeTint="66"/>
        <w:insideV w:val="single" w:sz="4" w:space="0" w:color="9DC4FF" w:themeColor="text1" w:themeTint="66"/>
      </w:tblBorders>
    </w:tblPr>
    <w:tblStylePr w:type="firstRow">
      <w:rPr>
        <w:b/>
        <w:bCs/>
      </w:rPr>
      <w:tblPr/>
      <w:tcPr>
        <w:tcBorders>
          <w:bottom w:val="single" w:sz="12" w:space="0" w:color="6DA6FF" w:themeColor="text1" w:themeTint="99"/>
        </w:tcBorders>
      </w:tcPr>
    </w:tblStylePr>
    <w:tblStylePr w:type="lastRow">
      <w:rPr>
        <w:b/>
        <w:bCs/>
      </w:rPr>
      <w:tblPr/>
      <w:tcPr>
        <w:tcBorders>
          <w:top w:val="double" w:sz="2" w:space="0" w:color="6DA6FF"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10C60"/>
    <w:rPr>
      <w:color w:val="605E5C"/>
      <w:shd w:val="clear" w:color="auto" w:fill="E1DFDD"/>
    </w:rPr>
  </w:style>
  <w:style w:type="character" w:customStyle="1" w:styleId="Ttulo3Car">
    <w:name w:val="Título 3 Car"/>
    <w:basedOn w:val="Fuentedeprrafopredeter"/>
    <w:link w:val="Ttulo3"/>
    <w:uiPriority w:val="2"/>
    <w:rsid w:val="008C6592"/>
    <w:rPr>
      <w:rFonts w:asciiTheme="majorHAnsi" w:eastAsiaTheme="majorEastAsia" w:hAnsiTheme="majorHAnsi" w:cstheme="majorBidi"/>
      <w:color w:val="363B49" w:themeColor="accent1" w:themeShade="7F"/>
      <w:sz w:val="24"/>
      <w:szCs w:val="24"/>
    </w:rPr>
  </w:style>
  <w:style w:type="numbering" w:customStyle="1" w:styleId="ListaTelefonica">
    <w:name w:val="Lista Telefonica"/>
    <w:uiPriority w:val="99"/>
    <w:rsid w:val="00E732E8"/>
    <w:pPr>
      <w:numPr>
        <w:numId w:val="17"/>
      </w:numPr>
    </w:pPr>
  </w:style>
  <w:style w:type="numbering" w:customStyle="1" w:styleId="NuevaListaTelefonica">
    <w:name w:val="Nueva Lista Telefonica"/>
    <w:uiPriority w:val="99"/>
    <w:rsid w:val="0067616A"/>
    <w:pPr>
      <w:numPr>
        <w:numId w:val="20"/>
      </w:numPr>
    </w:pPr>
  </w:style>
  <w:style w:type="paragraph" w:customStyle="1" w:styleId="Disclaimer">
    <w:name w:val="Disclaimer"/>
    <w:basedOn w:val="Normal"/>
    <w:uiPriority w:val="99"/>
    <w:qFormat/>
    <w:rsid w:val="00F522CC"/>
    <w:pPr>
      <w:framePr w:hSpace="180" w:wrap="around" w:vAnchor="page" w:hAnchor="margin" w:xAlign="center" w:y="3307"/>
      <w:spacing w:after="80" w:line="240" w:lineRule="auto"/>
      <w:ind w:right="323"/>
    </w:pPr>
    <w:rPr>
      <w:bCs/>
      <w:color w:val="606060" w:themeColor="background1"/>
      <w:sz w:val="14"/>
      <w:szCs w:val="14"/>
      <w:lang w:val="en-GB" w:eastAsia="en-GB"/>
    </w:rPr>
  </w:style>
  <w:style w:type="character" w:customStyle="1" w:styleId="TextWhite">
    <w:name w:val="Text_White"/>
    <w:basedOn w:val="Fuentedeprrafopredeter"/>
    <w:uiPriority w:val="1"/>
    <w:qFormat/>
    <w:rsid w:val="00F522CC"/>
    <w:rPr>
      <w:color w:val="606060" w:themeColor="background1"/>
    </w:rPr>
  </w:style>
  <w:style w:type="character" w:customStyle="1" w:styleId="Ttulo4Car">
    <w:name w:val="Título 4 Car"/>
    <w:basedOn w:val="Fuentedeprrafopredeter"/>
    <w:link w:val="Ttulo4"/>
    <w:uiPriority w:val="9"/>
    <w:semiHidden/>
    <w:rsid w:val="00A72088"/>
    <w:rPr>
      <w:rFonts w:eastAsiaTheme="majorEastAsia" w:cstheme="majorBidi"/>
      <w:i/>
      <w:iCs/>
      <w:color w:val="52596E" w:themeColor="accent1" w:themeShade="BF"/>
    </w:rPr>
  </w:style>
  <w:style w:type="character" w:customStyle="1" w:styleId="Ttulo5Car">
    <w:name w:val="Título 5 Car"/>
    <w:basedOn w:val="Fuentedeprrafopredeter"/>
    <w:link w:val="Ttulo5"/>
    <w:uiPriority w:val="9"/>
    <w:semiHidden/>
    <w:rsid w:val="00A72088"/>
    <w:rPr>
      <w:rFonts w:eastAsiaTheme="majorEastAsia" w:cstheme="majorBidi"/>
      <w:color w:val="52596E" w:themeColor="accent1" w:themeShade="BF"/>
    </w:rPr>
  </w:style>
  <w:style w:type="character" w:customStyle="1" w:styleId="Ttulo6Car">
    <w:name w:val="Título 6 Car"/>
    <w:basedOn w:val="Fuentedeprrafopredeter"/>
    <w:link w:val="Ttulo6"/>
    <w:uiPriority w:val="9"/>
    <w:semiHidden/>
    <w:rsid w:val="00A72088"/>
    <w:rPr>
      <w:rFonts w:eastAsiaTheme="majorEastAsia" w:cstheme="majorBidi"/>
      <w:i/>
      <w:iCs/>
      <w:color w:val="609FFF" w:themeColor="text1" w:themeTint="A6"/>
    </w:rPr>
  </w:style>
  <w:style w:type="character" w:customStyle="1" w:styleId="Ttulo7Car">
    <w:name w:val="Título 7 Car"/>
    <w:basedOn w:val="Fuentedeprrafopredeter"/>
    <w:link w:val="Ttulo7"/>
    <w:uiPriority w:val="9"/>
    <w:semiHidden/>
    <w:rsid w:val="00A72088"/>
    <w:rPr>
      <w:rFonts w:eastAsiaTheme="majorEastAsia" w:cstheme="majorBidi"/>
      <w:color w:val="609FFF" w:themeColor="text1" w:themeTint="A6"/>
    </w:rPr>
  </w:style>
  <w:style w:type="character" w:customStyle="1" w:styleId="Ttulo8Car">
    <w:name w:val="Título 8 Car"/>
    <w:basedOn w:val="Fuentedeprrafopredeter"/>
    <w:link w:val="Ttulo8"/>
    <w:uiPriority w:val="9"/>
    <w:semiHidden/>
    <w:rsid w:val="00A72088"/>
    <w:rPr>
      <w:rFonts w:eastAsiaTheme="majorEastAsia" w:cstheme="majorBidi"/>
      <w:i/>
      <w:iCs/>
      <w:color w:val="3182FF" w:themeColor="text1" w:themeTint="D8"/>
    </w:rPr>
  </w:style>
  <w:style w:type="character" w:customStyle="1" w:styleId="Ttulo9Car">
    <w:name w:val="Título 9 Car"/>
    <w:basedOn w:val="Fuentedeprrafopredeter"/>
    <w:link w:val="Ttulo9"/>
    <w:uiPriority w:val="9"/>
    <w:semiHidden/>
    <w:rsid w:val="00A72088"/>
    <w:rPr>
      <w:rFonts w:eastAsiaTheme="majorEastAsia" w:cstheme="majorBidi"/>
      <w:color w:val="3182FF" w:themeColor="text1" w:themeTint="D8"/>
    </w:rPr>
  </w:style>
  <w:style w:type="paragraph" w:styleId="Ttulo">
    <w:name w:val="Title"/>
    <w:basedOn w:val="Normal"/>
    <w:next w:val="Normal"/>
    <w:link w:val="TtuloCar"/>
    <w:uiPriority w:val="10"/>
    <w:rsid w:val="00A72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0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rsid w:val="00A72088"/>
    <w:pPr>
      <w:numPr>
        <w:ilvl w:val="1"/>
      </w:numPr>
    </w:pPr>
    <w:rPr>
      <w:rFonts w:eastAsiaTheme="majorEastAsia" w:cstheme="majorBidi"/>
      <w:color w:val="609FFF" w:themeColor="text1" w:themeTint="A6"/>
      <w:spacing w:val="15"/>
      <w:sz w:val="28"/>
      <w:szCs w:val="28"/>
    </w:rPr>
  </w:style>
  <w:style w:type="character" w:customStyle="1" w:styleId="SubttuloCar">
    <w:name w:val="Subtítulo Car"/>
    <w:basedOn w:val="Fuentedeprrafopredeter"/>
    <w:link w:val="Subttulo"/>
    <w:uiPriority w:val="11"/>
    <w:rsid w:val="00A72088"/>
    <w:rPr>
      <w:rFonts w:eastAsiaTheme="majorEastAsia" w:cstheme="majorBidi"/>
      <w:color w:val="609FFF" w:themeColor="text1" w:themeTint="A6"/>
      <w:spacing w:val="15"/>
      <w:sz w:val="28"/>
      <w:szCs w:val="28"/>
    </w:rPr>
  </w:style>
  <w:style w:type="paragraph" w:styleId="Cita">
    <w:name w:val="Quote"/>
    <w:basedOn w:val="Normal"/>
    <w:next w:val="Normal"/>
    <w:link w:val="CitaCar"/>
    <w:uiPriority w:val="29"/>
    <w:rsid w:val="00A72088"/>
    <w:pPr>
      <w:spacing w:before="160"/>
      <w:jc w:val="center"/>
    </w:pPr>
    <w:rPr>
      <w:i/>
      <w:iCs/>
      <w:color w:val="4890FF" w:themeColor="text1" w:themeTint="BF"/>
    </w:rPr>
  </w:style>
  <w:style w:type="character" w:customStyle="1" w:styleId="CitaCar">
    <w:name w:val="Cita Car"/>
    <w:basedOn w:val="Fuentedeprrafopredeter"/>
    <w:link w:val="Cita"/>
    <w:uiPriority w:val="29"/>
    <w:rsid w:val="00A72088"/>
    <w:rPr>
      <w:i/>
      <w:iCs/>
      <w:color w:val="4890FF" w:themeColor="text1" w:themeTint="BF"/>
    </w:rPr>
  </w:style>
  <w:style w:type="character" w:styleId="nfasisintenso">
    <w:name w:val="Intense Emphasis"/>
    <w:basedOn w:val="Fuentedeprrafopredeter"/>
    <w:uiPriority w:val="21"/>
    <w:rsid w:val="00A72088"/>
    <w:rPr>
      <w:i/>
      <w:iCs/>
      <w:color w:val="52596E" w:themeColor="accent1" w:themeShade="BF"/>
    </w:rPr>
  </w:style>
  <w:style w:type="paragraph" w:styleId="Citadestacada">
    <w:name w:val="Intense Quote"/>
    <w:basedOn w:val="Normal"/>
    <w:next w:val="Normal"/>
    <w:link w:val="CitadestacadaCar"/>
    <w:uiPriority w:val="30"/>
    <w:rsid w:val="00A72088"/>
    <w:pPr>
      <w:pBdr>
        <w:top w:val="single" w:sz="4" w:space="10" w:color="52596E" w:themeColor="accent1" w:themeShade="BF"/>
        <w:bottom w:val="single" w:sz="4" w:space="10" w:color="52596E" w:themeColor="accent1" w:themeShade="BF"/>
      </w:pBdr>
      <w:spacing w:before="360" w:after="360"/>
      <w:ind w:left="864" w:right="864"/>
      <w:jc w:val="center"/>
    </w:pPr>
    <w:rPr>
      <w:i/>
      <w:iCs/>
      <w:color w:val="52596E" w:themeColor="accent1" w:themeShade="BF"/>
    </w:rPr>
  </w:style>
  <w:style w:type="character" w:customStyle="1" w:styleId="CitadestacadaCar">
    <w:name w:val="Cita destacada Car"/>
    <w:basedOn w:val="Fuentedeprrafopredeter"/>
    <w:link w:val="Citadestacada"/>
    <w:uiPriority w:val="30"/>
    <w:rsid w:val="00A72088"/>
    <w:rPr>
      <w:i/>
      <w:iCs/>
      <w:color w:val="52596E" w:themeColor="accent1" w:themeShade="BF"/>
    </w:rPr>
  </w:style>
  <w:style w:type="character" w:styleId="Referenciaintensa">
    <w:name w:val="Intense Reference"/>
    <w:basedOn w:val="Fuentedeprrafopredeter"/>
    <w:uiPriority w:val="32"/>
    <w:rsid w:val="00A72088"/>
    <w:rPr>
      <w:b/>
      <w:bCs/>
      <w:smallCaps/>
      <w:color w:val="52596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5990">
      <w:bodyDiv w:val="1"/>
      <w:marLeft w:val="0"/>
      <w:marRight w:val="0"/>
      <w:marTop w:val="0"/>
      <w:marBottom w:val="0"/>
      <w:divBdr>
        <w:top w:val="none" w:sz="0" w:space="0" w:color="auto"/>
        <w:left w:val="none" w:sz="0" w:space="0" w:color="auto"/>
        <w:bottom w:val="none" w:sz="0" w:space="0" w:color="auto"/>
        <w:right w:val="none" w:sz="0" w:space="0" w:color="auto"/>
      </w:divBdr>
    </w:div>
    <w:div w:id="300841050">
      <w:bodyDiv w:val="1"/>
      <w:marLeft w:val="0"/>
      <w:marRight w:val="0"/>
      <w:marTop w:val="0"/>
      <w:marBottom w:val="0"/>
      <w:divBdr>
        <w:top w:val="none" w:sz="0" w:space="0" w:color="auto"/>
        <w:left w:val="none" w:sz="0" w:space="0" w:color="auto"/>
        <w:bottom w:val="none" w:sz="0" w:space="0" w:color="auto"/>
        <w:right w:val="none" w:sz="0" w:space="0" w:color="auto"/>
      </w:divBdr>
    </w:div>
    <w:div w:id="669452612">
      <w:bodyDiv w:val="1"/>
      <w:marLeft w:val="0"/>
      <w:marRight w:val="0"/>
      <w:marTop w:val="0"/>
      <w:marBottom w:val="0"/>
      <w:divBdr>
        <w:top w:val="none" w:sz="0" w:space="0" w:color="auto"/>
        <w:left w:val="none" w:sz="0" w:space="0" w:color="auto"/>
        <w:bottom w:val="none" w:sz="0" w:space="0" w:color="auto"/>
        <w:right w:val="none" w:sz="0" w:space="0" w:color="auto"/>
      </w:divBdr>
    </w:div>
    <w:div w:id="917833454">
      <w:bodyDiv w:val="1"/>
      <w:marLeft w:val="0"/>
      <w:marRight w:val="0"/>
      <w:marTop w:val="0"/>
      <w:marBottom w:val="0"/>
      <w:divBdr>
        <w:top w:val="none" w:sz="0" w:space="0" w:color="auto"/>
        <w:left w:val="none" w:sz="0" w:space="0" w:color="auto"/>
        <w:bottom w:val="none" w:sz="0" w:space="0" w:color="auto"/>
        <w:right w:val="none" w:sz="0" w:space="0" w:color="auto"/>
      </w:divBdr>
    </w:div>
    <w:div w:id="965425444">
      <w:bodyDiv w:val="1"/>
      <w:marLeft w:val="0"/>
      <w:marRight w:val="0"/>
      <w:marTop w:val="0"/>
      <w:marBottom w:val="0"/>
      <w:divBdr>
        <w:top w:val="none" w:sz="0" w:space="0" w:color="auto"/>
        <w:left w:val="none" w:sz="0" w:space="0" w:color="auto"/>
        <w:bottom w:val="none" w:sz="0" w:space="0" w:color="auto"/>
        <w:right w:val="none" w:sz="0" w:space="0" w:color="auto"/>
      </w:divBdr>
    </w:div>
    <w:div w:id="1630818550">
      <w:bodyDiv w:val="1"/>
      <w:marLeft w:val="0"/>
      <w:marRight w:val="0"/>
      <w:marTop w:val="0"/>
      <w:marBottom w:val="0"/>
      <w:divBdr>
        <w:top w:val="none" w:sz="0" w:space="0" w:color="auto"/>
        <w:left w:val="none" w:sz="0" w:space="0" w:color="auto"/>
        <w:bottom w:val="none" w:sz="0" w:space="0" w:color="auto"/>
        <w:right w:val="none" w:sz="0" w:space="0" w:color="auto"/>
      </w:divBdr>
      <w:divsChild>
        <w:div w:id="593169242">
          <w:marLeft w:val="1555"/>
          <w:marRight w:val="0"/>
          <w:marTop w:val="86"/>
          <w:marBottom w:val="0"/>
          <w:divBdr>
            <w:top w:val="none" w:sz="0" w:space="0" w:color="auto"/>
            <w:left w:val="none" w:sz="0" w:space="0" w:color="auto"/>
            <w:bottom w:val="none" w:sz="0" w:space="0" w:color="auto"/>
            <w:right w:val="none" w:sz="0" w:space="0" w:color="auto"/>
          </w:divBdr>
        </w:div>
        <w:div w:id="1021862778">
          <w:marLeft w:val="2405"/>
          <w:marRight w:val="0"/>
          <w:marTop w:val="67"/>
          <w:marBottom w:val="0"/>
          <w:divBdr>
            <w:top w:val="none" w:sz="0" w:space="0" w:color="auto"/>
            <w:left w:val="none" w:sz="0" w:space="0" w:color="auto"/>
            <w:bottom w:val="none" w:sz="0" w:space="0" w:color="auto"/>
            <w:right w:val="none" w:sz="0" w:space="0" w:color="auto"/>
          </w:divBdr>
        </w:div>
      </w:divsChild>
    </w:div>
    <w:div w:id="19841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articulo.asp?Norma=1082" TargetMode="External"/><Relationship Id="rId18" Type="http://schemas.openxmlformats.org/officeDocument/2006/relationships/hyperlink" Target="https://www.ceta.org.co/html/vista_de_un_documento.asp?DocumentoID=61645" TargetMode="External"/><Relationship Id="rId26" Type="http://schemas.openxmlformats.org/officeDocument/2006/relationships/hyperlink" Target="https://www.ceta.org.co/html/vista_de_un_articulo.asp?Norma=1082" TargetMode="External"/><Relationship Id="rId21" Type="http://schemas.openxmlformats.org/officeDocument/2006/relationships/hyperlink" Target="https://www.ceta.org.co/html/vista_de_un_documento.asp?DocumentoID=61645"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eta.org.co/html/vista_de_un_documento.asp?DocumentoID=61645" TargetMode="External"/><Relationship Id="rId17" Type="http://schemas.openxmlformats.org/officeDocument/2006/relationships/hyperlink" Target="https://www.ceta.org.co/html/vista_de_un_documento.asp?DocumentoID=61645" TargetMode="External"/><Relationship Id="rId25" Type="http://schemas.openxmlformats.org/officeDocument/2006/relationships/hyperlink" Target="https://www.ceta.org.co/html/vista_de_un_articulo.asp?Norma=148" TargetMode="External"/><Relationship Id="rId33" Type="http://schemas.openxmlformats.org/officeDocument/2006/relationships/hyperlink" Target="https://normograma.dian.gov.co/dia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ta.org.co/html/vista_de_un_documento.asp?DocumentoID=61645" TargetMode="External"/><Relationship Id="rId20" Type="http://schemas.openxmlformats.org/officeDocument/2006/relationships/hyperlink" Target="https://www.ceta.org.co/html/vista_de_un_documento.asp?DocumentoID=61645" TargetMode="External"/><Relationship Id="rId29" Type="http://schemas.openxmlformats.org/officeDocument/2006/relationships/hyperlink" Target="https://www.ceta.org.co/html/vista_de_un_articulo.asp?Norma=10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ta.org.co/html/vista_de_un_articulo.asp?Norma=148" TargetMode="External"/><Relationship Id="rId24" Type="http://schemas.openxmlformats.org/officeDocument/2006/relationships/hyperlink" Target="https://www.ceta.org.co/html/vista_de_un_articulo.asp?Norma=647" TargetMode="External"/><Relationship Id="rId32" Type="http://schemas.openxmlformats.org/officeDocument/2006/relationships/hyperlink" Target="https://www.ceta.org.co/html/vista_de_un_articulo.asp?Norma=108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eta.org.co/html/vista_de_un_documento.asp?DocumentoID=61645" TargetMode="External"/><Relationship Id="rId23" Type="http://schemas.openxmlformats.org/officeDocument/2006/relationships/hyperlink" Target="https://www.ceta.org.co/html/vista_de_un_articulo.asp?Norma=647" TargetMode="External"/><Relationship Id="rId28" Type="http://schemas.openxmlformats.org/officeDocument/2006/relationships/hyperlink" Target="https://www.ceta.org.co/html/vista_de_un_documento.asp?DocumentoID=61645" TargetMode="External"/><Relationship Id="rId36" Type="http://schemas.openxmlformats.org/officeDocument/2006/relationships/footer" Target="footer3.xml"/><Relationship Id="rId10" Type="http://schemas.openxmlformats.org/officeDocument/2006/relationships/hyperlink" Target="https://www.ceta.org.co/html/vista_de_un_documento.asp?DocumentoID=61645" TargetMode="External"/><Relationship Id="rId19" Type="http://schemas.openxmlformats.org/officeDocument/2006/relationships/hyperlink" Target="https://www.ceta.org.co/html/vista_de_un_documento.asp?DocumentoID=61645" TargetMode="External"/><Relationship Id="rId31" Type="http://schemas.openxmlformats.org/officeDocument/2006/relationships/hyperlink" Target="https://www.ceta.org.co/html/vista_de_un_documento.asp?DocumentoID=61645" TargetMode="External"/><Relationship Id="rId4" Type="http://schemas.openxmlformats.org/officeDocument/2006/relationships/styles" Target="styles.xml"/><Relationship Id="rId9" Type="http://schemas.openxmlformats.org/officeDocument/2006/relationships/hyperlink" Target="https://www.ceta.org.co/html/vista_de_un_articulo.asp?Norma=1082" TargetMode="External"/><Relationship Id="rId14" Type="http://schemas.openxmlformats.org/officeDocument/2006/relationships/hyperlink" Target="https://www.ceta.org.co/html/vista_de_un_documento.asp?DocumentoID=61645" TargetMode="External"/><Relationship Id="rId22" Type="http://schemas.openxmlformats.org/officeDocument/2006/relationships/hyperlink" Target="https://www.ceta.org.co/html/vista_de_un_documento.asp?DocumentoID=61645" TargetMode="External"/><Relationship Id="rId27" Type="http://schemas.openxmlformats.org/officeDocument/2006/relationships/hyperlink" Target="https://www.ceta.org.co/html/vista_de_un_documento.asp?DocumentoID=61645" TargetMode="External"/><Relationship Id="rId30" Type="http://schemas.openxmlformats.org/officeDocument/2006/relationships/hyperlink" Target="https://www.ceta.org.co/html/vista_de_un_articulo.asp?Norma=148"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Tema de Office">
  <a:themeElements>
    <a:clrScheme name="Personalizado Telefonica">
      <a:dk1>
        <a:srgbClr val="0C6DFF"/>
      </a:dk1>
      <a:lt1>
        <a:srgbClr val="606060"/>
      </a:lt1>
      <a:dk2>
        <a:srgbClr val="0C6DFF"/>
      </a:dk2>
      <a:lt2>
        <a:srgbClr val="FFFF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País - dirección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09B69-6D32-4478-A73C-4FAC94867D02}">
  <ds:schemaRefs>
    <ds:schemaRef ds:uri="http://schemas.openxmlformats.org/officeDocument/2006/bibliography"/>
  </ds:schemaRefs>
</ds:datastoreItem>
</file>

<file path=docMetadata/LabelInfo.xml><?xml version="1.0" encoding="utf-8"?>
<clbl:labelList xmlns:clbl="http://schemas.microsoft.com/office/2020/mipLabelMetadata">
  <clbl:label id="{35bcdbf9-7feb-48d4-8a77-96de150ae250}" enabled="1" method="Privileged" siteId="{c254eece-964c-40d3-81bd-d74656c087fd}" contentBits="2" removed="0"/>
  <clbl:label id="{971eb7f6-99e3-4990-abf6-c5b9fd14c39b}" enabled="1" method="Privileged" siteId="{c254eece-964c-40d3-81bd-d74656c087f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2327</Words>
  <Characters>12800</Characters>
  <Application>Microsoft Office Word</Application>
  <DocSecurity>0</DocSecurity>
  <Lines>106</Lines>
  <Paragraphs>30</Paragraphs>
  <ScaleCrop>false</ScaleCrop>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
  <dc:creator>Katty Geraldine Prieto Gomez</dc:creator>
  <cp:keywords/>
  <dc:description/>
  <cp:lastModifiedBy>Julian Camilo Velosa Morales</cp:lastModifiedBy>
  <cp:revision>1</cp:revision>
  <cp:lastPrinted>2018-07-24T10:54:00Z</cp:lastPrinted>
  <dcterms:created xsi:type="dcterms:W3CDTF">2026-06-11T22:48:00Z</dcterms:created>
  <dcterms:modified xsi:type="dcterms:W3CDTF">2026-06-11T22:48:00Z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7cc5ae54,7c6c95de,263194a7</vt:lpwstr>
  </property>
  <property fmtid="{D5CDD505-2E9C-101B-9397-08002B2CF9AE}" pid="3" name="ClassificationContentMarkingFooterFontProps">
    <vt:lpwstr>#000000,8,Aptos</vt:lpwstr>
  </property>
  <property fmtid="{D5CDD505-2E9C-101B-9397-08002B2CF9AE}" pid="4" name="ClassificationContentMarkingFooterText">
    <vt:lpwstr>Documento Público</vt:lpwstr>
  </property>
  <property fmtid="{D5CDD505-2E9C-101B-9397-08002B2CF9AE}" pid="5" name="MSIP_Label_35bcdbf9-7feb-48d4-8a77-96de150ae250_Enabled">
    <vt:lpwstr>true</vt:lpwstr>
  </property>
  <property fmtid="{D5CDD505-2E9C-101B-9397-08002B2CF9AE}" pid="6" name="MSIP_Label_35bcdbf9-7feb-48d4-8a77-96de150ae250_SetDate">
    <vt:lpwstr>2026-06-11T22:48:51Z</vt:lpwstr>
  </property>
  <property fmtid="{D5CDD505-2E9C-101B-9397-08002B2CF9AE}" pid="7" name="MSIP_Label_35bcdbf9-7feb-48d4-8a77-96de150ae250_Method">
    <vt:lpwstr>Standard</vt:lpwstr>
  </property>
  <property fmtid="{D5CDD505-2E9C-101B-9397-08002B2CF9AE}" pid="8" name="MSIP_Label_35bcdbf9-7feb-48d4-8a77-96de150ae250_Name">
    <vt:lpwstr>Dto. Publico Colombia</vt:lpwstr>
  </property>
  <property fmtid="{D5CDD505-2E9C-101B-9397-08002B2CF9AE}" pid="9" name="MSIP_Label_35bcdbf9-7feb-48d4-8a77-96de150ae250_SiteId">
    <vt:lpwstr>c254eece-964c-40d3-81bd-d74656c087fd</vt:lpwstr>
  </property>
  <property fmtid="{D5CDD505-2E9C-101B-9397-08002B2CF9AE}" pid="10" name="MSIP_Label_35bcdbf9-7feb-48d4-8a77-96de150ae250_ActionId">
    <vt:lpwstr>b1311636-148e-4167-80b6-1b97062e8020</vt:lpwstr>
  </property>
  <property fmtid="{D5CDD505-2E9C-101B-9397-08002B2CF9AE}" pid="11" name="MSIP_Label_35bcdbf9-7feb-48d4-8a77-96de150ae250_ContentBits">
    <vt:lpwstr>0</vt:lpwstr>
  </property>
</Properties>
</file>