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E6E" w:rsidRPr="00E85E6E" w:rsidRDefault="00E85E6E" w:rsidP="00E85E6E">
      <w:pPr>
        <w:rPr>
          <w:color w:val="303030" w:themeColor="background1" w:themeShade="80"/>
          <w:lang w:val="es-CO"/>
        </w:rPr>
      </w:pPr>
      <w:r w:rsidRPr="00E85E6E">
        <w:rPr>
          <w:b/>
          <w:bCs/>
          <w:color w:val="303030" w:themeColor="background1" w:themeShade="80"/>
          <w:lang w:val="es-CO"/>
        </w:rPr>
        <w:t>Concepto 0253 [002756]</w:t>
      </w:r>
    </w:p>
    <w:p w:rsidR="00E85E6E" w:rsidRPr="00E85E6E" w:rsidRDefault="00E85E6E" w:rsidP="00E85E6E">
      <w:pPr>
        <w:rPr>
          <w:color w:val="303030" w:themeColor="background1" w:themeShade="80"/>
          <w:lang w:val="es-CO"/>
        </w:rPr>
      </w:pPr>
      <w:r w:rsidRPr="00E85E6E">
        <w:rPr>
          <w:b/>
          <w:bCs/>
          <w:color w:val="303030" w:themeColor="background1" w:themeShade="80"/>
          <w:lang w:val="es-CO"/>
        </w:rPr>
        <w:t>20-02-2026</w:t>
      </w:r>
    </w:p>
    <w:p w:rsidR="00E85E6E" w:rsidRPr="00E85E6E" w:rsidRDefault="00E85E6E" w:rsidP="00E85E6E">
      <w:pPr>
        <w:rPr>
          <w:color w:val="303030" w:themeColor="background1" w:themeShade="80"/>
          <w:lang w:val="es-CO"/>
        </w:rPr>
      </w:pPr>
      <w:r w:rsidRPr="00E85E6E">
        <w:rPr>
          <w:b/>
          <w:bCs/>
          <w:color w:val="303030" w:themeColor="background1" w:themeShade="80"/>
          <w:lang w:val="es-CO"/>
        </w:rPr>
        <w:t>DIAN</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Bogotá, D.C.</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tbl>
      <w:tblPr>
        <w:tblW w:w="0" w:type="auto"/>
        <w:tblCellMar>
          <w:top w:w="15" w:type="dxa"/>
          <w:left w:w="15" w:type="dxa"/>
          <w:bottom w:w="15" w:type="dxa"/>
          <w:right w:w="15" w:type="dxa"/>
        </w:tblCellMar>
        <w:tblLook w:val="04A0" w:firstRow="1" w:lastRow="0" w:firstColumn="1" w:lastColumn="0" w:noHBand="0" w:noVBand="1"/>
      </w:tblPr>
      <w:tblGrid>
        <w:gridCol w:w="2053"/>
        <w:gridCol w:w="6451"/>
      </w:tblGrid>
      <w:tr w:rsidR="00E85E6E" w:rsidRPr="00E85E6E">
        <w:tc>
          <w:tcPr>
            <w:tcW w:w="2240" w:type="dxa"/>
            <w:tcBorders>
              <w:top w:val="nil"/>
              <w:left w:val="nil"/>
              <w:bottom w:val="nil"/>
              <w:right w:val="nil"/>
            </w:tcBorders>
            <w:tcMar>
              <w:top w:w="0" w:type="dxa"/>
              <w:left w:w="105" w:type="dxa"/>
              <w:bottom w:w="0" w:type="dxa"/>
              <w:right w:w="105" w:type="dxa"/>
            </w:tcMar>
            <w:hideMark/>
          </w:tcPr>
          <w:p w:rsidR="00E85E6E" w:rsidRPr="00E85E6E" w:rsidRDefault="00E85E6E" w:rsidP="00E85E6E">
            <w:pPr>
              <w:rPr>
                <w:color w:val="303030" w:themeColor="background1" w:themeShade="80"/>
                <w:lang w:val="es-CO"/>
              </w:rPr>
            </w:pPr>
            <w:r w:rsidRPr="00E85E6E">
              <w:rPr>
                <w:b/>
                <w:bCs/>
                <w:color w:val="303030" w:themeColor="background1" w:themeShade="80"/>
                <w:lang w:val="es-CO"/>
              </w:rPr>
              <w:t>Tema:</w:t>
            </w:r>
          </w:p>
        </w:tc>
        <w:tc>
          <w:tcPr>
            <w:tcW w:w="8450" w:type="dxa"/>
            <w:tcBorders>
              <w:top w:val="nil"/>
              <w:left w:val="nil"/>
              <w:bottom w:val="nil"/>
              <w:right w:val="nil"/>
            </w:tcBorders>
            <w:tcMar>
              <w:top w:w="0" w:type="dxa"/>
              <w:left w:w="105" w:type="dxa"/>
              <w:bottom w:w="0" w:type="dxa"/>
              <w:right w:w="105" w:type="dxa"/>
            </w:tcMar>
            <w:hideMark/>
          </w:tcPr>
          <w:p w:rsidR="00E85E6E" w:rsidRPr="00E85E6E" w:rsidRDefault="00E85E6E" w:rsidP="00E85E6E">
            <w:pPr>
              <w:rPr>
                <w:color w:val="303030" w:themeColor="background1" w:themeShade="80"/>
                <w:lang w:val="es-CO"/>
              </w:rPr>
            </w:pPr>
            <w:r w:rsidRPr="00E85E6E">
              <w:rPr>
                <w:color w:val="303030" w:themeColor="background1" w:themeShade="80"/>
                <w:lang w:val="es-CO"/>
              </w:rPr>
              <w:t>Impuesto sobre la Renta y Complementarios</w:t>
            </w:r>
          </w:p>
        </w:tc>
      </w:tr>
      <w:tr w:rsidR="00E85E6E" w:rsidRPr="00E85E6E">
        <w:tc>
          <w:tcPr>
            <w:tcW w:w="2240" w:type="dxa"/>
            <w:tcBorders>
              <w:top w:val="nil"/>
              <w:left w:val="nil"/>
              <w:bottom w:val="nil"/>
              <w:right w:val="nil"/>
            </w:tcBorders>
            <w:tcMar>
              <w:top w:w="0" w:type="dxa"/>
              <w:left w:w="105" w:type="dxa"/>
              <w:bottom w:w="0" w:type="dxa"/>
              <w:right w:w="105" w:type="dxa"/>
            </w:tcMar>
            <w:hideMark/>
          </w:tcPr>
          <w:p w:rsidR="00E85E6E" w:rsidRPr="00E85E6E" w:rsidRDefault="00E85E6E" w:rsidP="00E85E6E">
            <w:pPr>
              <w:rPr>
                <w:color w:val="303030" w:themeColor="background1" w:themeShade="80"/>
                <w:lang w:val="es-CO"/>
              </w:rPr>
            </w:pPr>
            <w:r w:rsidRPr="00E85E6E">
              <w:rPr>
                <w:b/>
                <w:bCs/>
                <w:color w:val="303030" w:themeColor="background1" w:themeShade="80"/>
                <w:lang w:val="es-CO"/>
              </w:rPr>
              <w:t>Descriptores:</w:t>
            </w:r>
          </w:p>
        </w:tc>
        <w:tc>
          <w:tcPr>
            <w:tcW w:w="8450" w:type="dxa"/>
            <w:tcBorders>
              <w:top w:val="nil"/>
              <w:left w:val="nil"/>
              <w:bottom w:val="nil"/>
              <w:right w:val="nil"/>
            </w:tcBorders>
            <w:tcMar>
              <w:top w:w="0" w:type="dxa"/>
              <w:left w:w="105" w:type="dxa"/>
              <w:bottom w:w="0" w:type="dxa"/>
              <w:right w:w="105" w:type="dxa"/>
            </w:tcMar>
            <w:hideMark/>
          </w:tcPr>
          <w:p w:rsidR="00E85E6E" w:rsidRPr="00E85E6E" w:rsidRDefault="00E85E6E" w:rsidP="00E85E6E">
            <w:pPr>
              <w:rPr>
                <w:color w:val="303030" w:themeColor="background1" w:themeShade="80"/>
                <w:lang w:val="es-CO"/>
              </w:rPr>
            </w:pPr>
            <w:r w:rsidRPr="00E85E6E">
              <w:rPr>
                <w:color w:val="303030" w:themeColor="background1" w:themeShade="80"/>
                <w:lang w:val="es-CO"/>
              </w:rPr>
              <w:t>Deducción especial de renta en inversiones de producción de energía con fuentes no convencionales de energía y gestión eficiente de la energía.</w:t>
            </w:r>
          </w:p>
        </w:tc>
      </w:tr>
      <w:tr w:rsidR="00E85E6E" w:rsidRPr="00E85E6E">
        <w:tc>
          <w:tcPr>
            <w:tcW w:w="2240" w:type="dxa"/>
            <w:tcBorders>
              <w:top w:val="nil"/>
              <w:left w:val="nil"/>
              <w:bottom w:val="nil"/>
              <w:right w:val="nil"/>
            </w:tcBorders>
            <w:tcMar>
              <w:top w:w="0" w:type="dxa"/>
              <w:left w:w="105" w:type="dxa"/>
              <w:bottom w:w="0" w:type="dxa"/>
              <w:right w:w="105" w:type="dxa"/>
            </w:tcMar>
            <w:hideMark/>
          </w:tcPr>
          <w:p w:rsidR="00E85E6E" w:rsidRPr="00E85E6E" w:rsidRDefault="00E85E6E" w:rsidP="00E85E6E">
            <w:pPr>
              <w:rPr>
                <w:color w:val="303030" w:themeColor="background1" w:themeShade="80"/>
                <w:lang w:val="es-CO"/>
              </w:rPr>
            </w:pPr>
            <w:r w:rsidRPr="00E85E6E">
              <w:rPr>
                <w:b/>
                <w:bCs/>
                <w:color w:val="303030" w:themeColor="background1" w:themeShade="80"/>
                <w:lang w:val="es-CO"/>
              </w:rPr>
              <w:t>Fuentes Formales:</w:t>
            </w:r>
          </w:p>
        </w:tc>
        <w:tc>
          <w:tcPr>
            <w:tcW w:w="8450" w:type="dxa"/>
            <w:tcBorders>
              <w:top w:val="nil"/>
              <w:left w:val="nil"/>
              <w:bottom w:val="nil"/>
              <w:right w:val="nil"/>
            </w:tcBorders>
            <w:tcMar>
              <w:top w:w="0" w:type="dxa"/>
              <w:left w:w="105" w:type="dxa"/>
              <w:bottom w:w="0" w:type="dxa"/>
              <w:right w:w="105" w:type="dxa"/>
            </w:tcMar>
            <w:hideMark/>
          </w:tcPr>
          <w:p w:rsidR="00E85E6E" w:rsidRPr="00E85E6E" w:rsidRDefault="00E85E6E" w:rsidP="00E85E6E">
            <w:pPr>
              <w:rPr>
                <w:color w:val="303030" w:themeColor="background1" w:themeShade="80"/>
                <w:lang w:val="es-CO"/>
              </w:rPr>
            </w:pPr>
            <w:hyperlink r:id="rId9" w:tooltip="Estatuto Tributario CETA" w:history="1">
              <w:r w:rsidRPr="00E85E6E">
                <w:rPr>
                  <w:rStyle w:val="Hipervnculo"/>
                  <w:color w:val="303030" w:themeColor="background1" w:themeShade="80"/>
                  <w:u w:val="none"/>
                  <w:lang w:val="es-CO"/>
                </w:rPr>
                <w:t>Artículo 336</w:t>
              </w:r>
            </w:hyperlink>
            <w:r w:rsidRPr="00E85E6E">
              <w:rPr>
                <w:color w:val="303030" w:themeColor="background1" w:themeShade="80"/>
                <w:lang w:val="es-CO"/>
              </w:rPr>
              <w:t> del Estatuto Tributario.</w:t>
            </w:r>
          </w:p>
          <w:p w:rsidR="00E85E6E" w:rsidRPr="00E85E6E" w:rsidRDefault="00E85E6E" w:rsidP="00E85E6E">
            <w:pPr>
              <w:rPr>
                <w:color w:val="303030" w:themeColor="background1" w:themeShade="80"/>
                <w:lang w:val="es-CO"/>
              </w:rPr>
            </w:pPr>
            <w:r w:rsidRPr="00E85E6E">
              <w:rPr>
                <w:color w:val="303030" w:themeColor="background1" w:themeShade="80"/>
                <w:lang w:val="es-CO"/>
              </w:rPr>
              <w:t>Artículo 11 de la Ley 1715 de 2014.</w:t>
            </w:r>
          </w:p>
        </w:tc>
      </w:tr>
    </w:tbl>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1. Esta Subdirección está facultada para resolver las consultas escritas, presentadas de manera general, sobre la interpretación y aplicación de las normas tributarias, aduaneras y de fiscalización cambiaria, en lo de competencia de la DIAN</w:t>
      </w:r>
      <w:hyperlink r:id="rId10" w:anchor="cite_note-1" w:history="1">
        <w:r w:rsidRPr="00E85E6E">
          <w:rPr>
            <w:rStyle w:val="Hipervnculo"/>
            <w:color w:val="303030" w:themeColor="background1" w:themeShade="80"/>
            <w:u w:val="none"/>
            <w:vertAlign w:val="superscript"/>
            <w:lang w:val="es-CO"/>
          </w:rPr>
          <w:t>1</w:t>
        </w:r>
      </w:hyperlink>
      <w:r w:rsidRPr="00E85E6E">
        <w:rPr>
          <w:color w:val="303030" w:themeColor="background1" w:themeShade="80"/>
          <w:lang w:val="es-CO"/>
        </w:rPr>
        <w:t>. En este sentido, la doctrina emitida será de carácter general, no se referirá a asuntos particulares y se someterá a lo consagrado en el artículo 131 de la Ley 2010 de 2019</w:t>
      </w:r>
      <w:hyperlink r:id="rId11" w:anchor="cite_note-2" w:history="1">
        <w:r w:rsidRPr="00E85E6E">
          <w:rPr>
            <w:rStyle w:val="Hipervnculo"/>
            <w:color w:val="303030" w:themeColor="background1" w:themeShade="80"/>
            <w:u w:val="none"/>
            <w:vertAlign w:val="superscript"/>
            <w:lang w:val="es-CO"/>
          </w:rPr>
          <w:t>2</w:t>
        </w:r>
      </w:hyperlink>
      <w:r w:rsidRPr="00E85E6E">
        <w:rPr>
          <w:color w:val="303030" w:themeColor="background1" w:themeShade="80"/>
          <w:lang w:val="es-CO"/>
        </w:rPr>
        <w:t>.</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2. Solicita que se precise si la deducción en el impuesto sobre la renta prevista en el artículo 11 de la Ley 1715 de 2014 constituye una deducción especial sometida exclusivamente al límite del 50% de la renta líquida del contribuyente o si le aplica el límite de que trata el numeral 3 del </w:t>
      </w:r>
      <w:hyperlink r:id="rId12" w:tooltip="Estatuto Tributario CETA" w:history="1">
        <w:r w:rsidRPr="00E85E6E">
          <w:rPr>
            <w:rStyle w:val="Hipervnculo"/>
            <w:color w:val="303030" w:themeColor="background1" w:themeShade="80"/>
            <w:u w:val="none"/>
            <w:lang w:val="es-CO"/>
          </w:rPr>
          <w:t>artículo 336</w:t>
        </w:r>
      </w:hyperlink>
      <w:r w:rsidRPr="00E85E6E">
        <w:rPr>
          <w:color w:val="303030" w:themeColor="background1" w:themeShade="80"/>
          <w:lang w:val="es-CO"/>
        </w:rPr>
        <w:t> del Estatuto Tributario.</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3. En lo relacionado con las solicitudes contenidas en los puntos 2 y 3 de su solicitud de consulta, le informo que no corresponde a este Despacho definir los pasos específicos para el acceso al beneficio tributario de que trata el artículo 11 de la Ley 1715 de 2014, ni el modo de diligenciar el formulario 210, tampoco si a ello hubiera lugar, ordenar el ajuste del diseño del referido formulario.</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4. No obstante lo anterior, esta Subdirección ha tenido conocimiento que la Coordinación de Administración de Aplicativos de Impuestos incluirá en el servicio informático ayudas o instrucciones indicativas para la correcta detracción de la deducción del artículo 11 de la Ley 1715 de 2014 en el formulario No. 210.</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Al respecto se considera:</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5. La doctrina vigente</w:t>
      </w:r>
      <w:hyperlink r:id="rId13" w:anchor="cite_note-3" w:history="1">
        <w:r w:rsidRPr="00E85E6E">
          <w:rPr>
            <w:rStyle w:val="Hipervnculo"/>
            <w:color w:val="303030" w:themeColor="background1" w:themeShade="80"/>
            <w:u w:val="none"/>
            <w:vertAlign w:val="superscript"/>
            <w:lang w:val="es-CO"/>
          </w:rPr>
          <w:t>3</w:t>
        </w:r>
      </w:hyperlink>
      <w:r w:rsidRPr="00E85E6E">
        <w:rPr>
          <w:color w:val="303030" w:themeColor="background1" w:themeShade="80"/>
          <w:lang w:val="es-CO"/>
        </w:rPr>
        <w:t> ha interpretado que la deducción especial en el impuesto sobre la renta prevista en el artículo 11 de la Ley 1715 de 2014 está sujeta al límite general de deducciones previsto en el numeral 3 del </w:t>
      </w:r>
      <w:hyperlink r:id="rId14" w:tooltip="Estatuto Tributario CETA" w:history="1">
        <w:r w:rsidRPr="00E85E6E">
          <w:rPr>
            <w:rStyle w:val="Hipervnculo"/>
            <w:color w:val="303030" w:themeColor="background1" w:themeShade="80"/>
            <w:u w:val="none"/>
            <w:lang w:val="es-CO"/>
          </w:rPr>
          <w:t>artículo 336</w:t>
        </w:r>
      </w:hyperlink>
      <w:r w:rsidRPr="00E85E6E">
        <w:rPr>
          <w:color w:val="303030" w:themeColor="background1" w:themeShade="80"/>
          <w:lang w:val="es-CO"/>
        </w:rPr>
        <w:t> del Estatuto Tributario, dado que la mencionada ley no excluyó dicho beneficio del límite general.</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6. Es así como la doctrina citada consideró que: “al momento de detraer las deducciones especiales y rentas exentas se debe respetar el límite establecido, salvo que la norma que otorga el beneficio disponga expresamente su exclusión”. (Sic)</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7. También se adujo que para acceder al beneficio tributario en las condiciones señaladas en el artículo 11 de la Ley 1715 de 2014, es decir, la posibilidad de deducir de su renta el 50% del valor total de las inversiones realizadas en un período de 15 años, el proyecto debe contar con la certificación expedida por la Unidad de Planeación Minero Energética (UPME).</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8. Para mayor ilustración se anexa el Concepto No. 017277 (int 2011) de 2025 y el Oficio No. 000146 (int 0012) de 2026, en los cuales se plasmó la interpretación general relacionada con la deducción en el impuesto sobre la renta prevista en el artículo 11 de la Ley 1715 de 2014.</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9. Así las cosas, acorde a lo manifestado resulta pertinente informar que la entidad se encuentra revisando el Formulario No. 210 con el fin de establecer de manera específica en que renglón de este se debe consignar la aludida deducción del artículo 11 ibidem.</w:t>
      </w:r>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rPr>
          <w:color w:val="303030" w:themeColor="background1" w:themeShade="80"/>
          <w:lang w:val="es-CO"/>
        </w:rPr>
      </w:pPr>
      <w:r w:rsidRPr="00E85E6E">
        <w:rPr>
          <w:color w:val="303030" w:themeColor="background1" w:themeShade="80"/>
          <w:lang w:val="es-CO"/>
        </w:rPr>
        <w:t>10. En los anteriores términos se absuelve su petición y se recuerda que la normativa, jurisprudencia y doctrina en materia tributaria, aduanera y de fiscalización cambiaria, en lo de competencia de esta Entidad, puede consultarse en el normograma DIAN: </w:t>
      </w:r>
      <w:hyperlink r:id="rId15" w:tgtFrame="_blank" w:history="1">
        <w:r w:rsidRPr="00E85E6E">
          <w:rPr>
            <w:rStyle w:val="Hipervnculo"/>
            <w:color w:val="303030" w:themeColor="background1" w:themeShade="80"/>
            <w:u w:val="none"/>
            <w:lang w:val="es-CO"/>
          </w:rPr>
          <w:t>https://normograma.dian.gov.co/dian/</w:t>
        </w:r>
      </w:hyperlink>
    </w:p>
    <w:p w:rsidR="00E85E6E" w:rsidRPr="00E85E6E" w:rsidRDefault="00E85E6E" w:rsidP="00E85E6E">
      <w:pPr>
        <w:rPr>
          <w:color w:val="303030" w:themeColor="background1" w:themeShade="80"/>
          <w:lang w:val="es-CO"/>
        </w:rPr>
      </w:pPr>
      <w:r w:rsidRPr="00E85E6E">
        <w:rPr>
          <w:color w:val="303030" w:themeColor="background1" w:themeShade="80"/>
          <w:lang w:val="es-CO"/>
        </w:rPr>
        <w:t> </w:t>
      </w:r>
    </w:p>
    <w:p w:rsidR="00E85E6E" w:rsidRPr="00E85E6E" w:rsidRDefault="00E85E6E" w:rsidP="00E85E6E">
      <w:pPr>
        <w:numPr>
          <w:ilvl w:val="0"/>
          <w:numId w:val="20"/>
        </w:numPr>
        <w:rPr>
          <w:b/>
          <w:bCs/>
          <w:color w:val="303030" w:themeColor="background1" w:themeShade="80"/>
          <w:lang w:val="es-CO"/>
        </w:rPr>
      </w:pPr>
      <w:r w:rsidRPr="00E85E6E">
        <w:rPr>
          <w:b/>
          <w:bCs/>
          <w:color w:val="303030" w:themeColor="background1" w:themeShade="80"/>
          <w:lang w:val="es-CO"/>
        </w:rPr>
        <w:t>Notas al pie</w:t>
      </w:r>
    </w:p>
    <w:p w:rsidR="00F50800" w:rsidRPr="00E85E6E" w:rsidRDefault="00F50800" w:rsidP="00E85E6E"/>
    <w:sectPr w:rsidR="00F50800" w:rsidRPr="00E85E6E" w:rsidSect="008C5242">
      <w:headerReference w:type="default" r:id="rId16"/>
      <w:footerReference w:type="even" r:id="rId17"/>
      <w:footerReference w:type="default" r:id="rId18"/>
      <w:footerReference w:type="first" r:id="rId19"/>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A32" w:rsidRDefault="00B30A32" w:rsidP="00857C06">
      <w:pPr>
        <w:spacing w:after="0" w:line="240" w:lineRule="auto"/>
      </w:pPr>
      <w:r>
        <w:separator/>
      </w:r>
    </w:p>
    <w:p w:rsidR="00B30A32" w:rsidRDefault="00B30A32"/>
  </w:endnote>
  <w:endnote w:type="continuationSeparator" w:id="0">
    <w:p w:rsidR="00B30A32" w:rsidRDefault="00B30A32" w:rsidP="00857C06">
      <w:pPr>
        <w:spacing w:after="0" w:line="240" w:lineRule="auto"/>
      </w:pPr>
      <w:r>
        <w:continuationSeparator/>
      </w:r>
    </w:p>
    <w:p w:rsidR="00B30A32" w:rsidRDefault="00B30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FF2309">
    <w:pPr>
      <w:pStyle w:val="Piedepgina"/>
    </w:pPr>
    <w:r>
      <w:rPr>
        <w:noProof/>
      </w:rPr>
      <mc:AlternateContent>
        <mc:Choice Requires="wps">
          <w:drawing>
            <wp:anchor distT="0" distB="0" distL="0" distR="0" simplePos="0" relativeHeight="251659264" behindDoc="0" locked="0" layoutInCell="1" allowOverlap="1" wp14:anchorId="78ABB726" wp14:editId="29BB3A41">
              <wp:simplePos x="635" y="635"/>
              <wp:positionH relativeFrom="page">
                <wp:align>center</wp:align>
              </wp:positionH>
              <wp:positionV relativeFrom="page">
                <wp:align>bottom</wp:align>
              </wp:positionV>
              <wp:extent cx="874395" cy="324485"/>
              <wp:effectExtent l="0" t="0" r="1905" b="0"/>
              <wp:wrapNone/>
              <wp:docPr id="2075360666" name="Cuadro de texto 5"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FF2309" w:rsidRPr="00FF2309" w:rsidRDefault="00FF2309" w:rsidP="00FF2309">
                          <w:pPr>
                            <w:spacing w:after="0"/>
                            <w:rPr>
                              <w:rFonts w:ascii="Aptos" w:eastAsia="Aptos" w:hAnsi="Aptos" w:cs="Aptos"/>
                              <w:noProof/>
                              <w:color w:val="000000"/>
                              <w:sz w:val="16"/>
                              <w:szCs w:val="16"/>
                            </w:rPr>
                          </w:pPr>
                          <w:r w:rsidRPr="00FF2309">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ABB726" id="_x0000_t202" coordsize="21600,21600" o:spt="202" path="m,l,21600r21600,l21600,xe">
              <v:stroke joinstyle="miter"/>
              <v:path gradientshapeok="t" o:connecttype="rect"/>
            </v:shapetype>
            <v:shape id="Cuadro de texto 5" o:spid="_x0000_s1026" type="#_x0000_t202" alt="Documento Público" style="position:absolute;margin-left:0;margin-top:0;width:68.8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" filled="f" stroked="f">
              <v:fill o:detectmouseclick="t"/>
              <v:textbox style="mso-fit-shape-to-text:t" inset="0,0,0,15pt">
                <w:txbxContent>
                  <w:p w:rsidR="00FF2309" w:rsidRPr="00FF2309" w:rsidRDefault="00FF2309" w:rsidP="00FF2309">
                    <w:pPr>
                      <w:spacing w:after="0"/>
                      <w:rPr>
                        <w:rFonts w:ascii="Aptos" w:eastAsia="Aptos" w:hAnsi="Aptos" w:cs="Aptos"/>
                        <w:noProof/>
                        <w:color w:val="000000"/>
                        <w:sz w:val="16"/>
                        <w:szCs w:val="16"/>
                      </w:rPr>
                    </w:pPr>
                    <w:r w:rsidRPr="00FF2309">
                      <w:rPr>
                        <w:rFonts w:ascii="Aptos" w:eastAsia="Aptos" w:hAnsi="Aptos" w:cs="Aptos"/>
                        <w:noProof/>
                        <w:color w:val="000000"/>
                        <w:sz w:val="16"/>
                        <w:szCs w:val="16"/>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F522CC" w:rsidRDefault="00FF2309" w:rsidP="00F522CC">
    <w:pPr>
      <w:pStyle w:val="Disclaimer"/>
      <w:framePr w:hSpace="0" w:wrap="auto" w:vAnchor="margin" w:hAnchor="text" w:xAlign="left" w:yAlign="inline"/>
      <w:rPr>
        <w:sz w:val="12"/>
        <w:szCs w:val="12"/>
        <w:lang w:val="es-CO" w:eastAsia="en-US"/>
      </w:rPr>
    </w:pPr>
    <w:r>
      <w:rPr>
        <w:noProof/>
        <w:sz w:val="12"/>
        <w:szCs w:val="12"/>
        <w:lang w:val="es-CO" w:eastAsia="en-US"/>
      </w:rPr>
      <mc:AlternateContent>
        <mc:Choice Requires="wps">
          <w:drawing>
            <wp:anchor distT="0" distB="0" distL="0" distR="0" simplePos="0" relativeHeight="251660288" behindDoc="0" locked="0" layoutInCell="1" allowOverlap="1" wp14:anchorId="080F2DE6" wp14:editId="28E25889">
              <wp:simplePos x="1079500" y="10102850"/>
              <wp:positionH relativeFrom="page">
                <wp:align>center</wp:align>
              </wp:positionH>
              <wp:positionV relativeFrom="page">
                <wp:align>bottom</wp:align>
              </wp:positionV>
              <wp:extent cx="874395" cy="324485"/>
              <wp:effectExtent l="0" t="0" r="1905" b="0"/>
              <wp:wrapNone/>
              <wp:docPr id="1484541801" name="Cuadro de texto 6"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FF2309" w:rsidRPr="00FF2309" w:rsidRDefault="00FF2309" w:rsidP="00FF2309">
                          <w:pPr>
                            <w:spacing w:after="0"/>
                            <w:rPr>
                              <w:rFonts w:ascii="Aptos" w:eastAsia="Aptos" w:hAnsi="Aptos" w:cs="Aptos"/>
                              <w:noProof/>
                              <w:color w:val="000000"/>
                              <w:sz w:val="16"/>
                              <w:szCs w:val="16"/>
                            </w:rPr>
                          </w:pPr>
                          <w:r w:rsidRPr="00FF2309">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F2DE6" id="_x0000_t202" coordsize="21600,21600" o:spt="202" path="m,l,21600r21600,l21600,xe">
              <v:stroke joinstyle="miter"/>
              <v:path gradientshapeok="t" o:connecttype="rect"/>
            </v:shapetype>
            <v:shape id="Cuadro de texto 6" o:spid="_x0000_s1027" type="#_x0000_t202" alt="Documento Público" style="position:absolute;margin-left:0;margin-top:0;width:68.8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QDg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" filled="f" stroked="f">
              <v:fill o:detectmouseclick="t"/>
              <v:textbox style="mso-fit-shape-to-text:t" inset="0,0,0,15pt">
                <w:txbxContent>
                  <w:p w:rsidR="00FF2309" w:rsidRPr="00FF2309" w:rsidRDefault="00FF2309" w:rsidP="00FF2309">
                    <w:pPr>
                      <w:spacing w:after="0"/>
                      <w:rPr>
                        <w:rFonts w:ascii="Aptos" w:eastAsia="Aptos" w:hAnsi="Aptos" w:cs="Aptos"/>
                        <w:noProof/>
                        <w:color w:val="000000"/>
                        <w:sz w:val="16"/>
                        <w:szCs w:val="16"/>
                      </w:rPr>
                    </w:pPr>
                    <w:r w:rsidRPr="00FF2309">
                      <w:rPr>
                        <w:rFonts w:ascii="Aptos" w:eastAsia="Aptos" w:hAnsi="Aptos" w:cs="Aptos"/>
                        <w:noProof/>
                        <w:color w:val="000000"/>
                        <w:sz w:val="16"/>
                        <w:szCs w:val="16"/>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FF2309">
    <w:pPr>
      <w:pStyle w:val="Piedepgina"/>
    </w:pPr>
    <w:r>
      <w:rPr>
        <w:noProof/>
      </w:rPr>
      <mc:AlternateContent>
        <mc:Choice Requires="wps">
          <w:drawing>
            <wp:anchor distT="0" distB="0" distL="0" distR="0" simplePos="0" relativeHeight="251658240" behindDoc="0" locked="0" layoutInCell="1" allowOverlap="1" wp14:anchorId="71F109F5" wp14:editId="0A0B23FC">
              <wp:simplePos x="635" y="635"/>
              <wp:positionH relativeFrom="page">
                <wp:align>center</wp:align>
              </wp:positionH>
              <wp:positionV relativeFrom="page">
                <wp:align>bottom</wp:align>
              </wp:positionV>
              <wp:extent cx="874395" cy="324485"/>
              <wp:effectExtent l="0" t="0" r="1905" b="0"/>
              <wp:wrapNone/>
              <wp:docPr id="504919654" name="Cuadro de texto 4"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FF2309" w:rsidRPr="00FF2309" w:rsidRDefault="00FF2309" w:rsidP="00FF2309">
                          <w:pPr>
                            <w:spacing w:after="0"/>
                            <w:rPr>
                              <w:rFonts w:ascii="Aptos" w:eastAsia="Aptos" w:hAnsi="Aptos" w:cs="Aptos"/>
                              <w:noProof/>
                              <w:color w:val="000000"/>
                              <w:sz w:val="16"/>
                              <w:szCs w:val="16"/>
                            </w:rPr>
                          </w:pPr>
                          <w:r w:rsidRPr="00FF2309">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F109F5" id="_x0000_t202" coordsize="21600,21600" o:spt="202" path="m,l,21600r21600,l21600,xe">
              <v:stroke joinstyle="miter"/>
              <v:path gradientshapeok="t" o:connecttype="rect"/>
            </v:shapetype>
            <v:shape id="Cuadro de texto 4" o:spid="_x0000_s1028" type="#_x0000_t202" alt="Documento Público" style="position:absolute;margin-left:0;margin-top:0;width:68.8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fW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Z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JMg31g8CAAAc&#10;BAAADgAAAAAAAAAAAAAAAAAuAgAAZHJzL2Uyb0RvYy54bWxQSwECLQAUAAYACAAAACEAbcL0X9oA&#10;AAAEAQAADwAAAAAAAAAAAAAAAABpBAAAZHJzL2Rvd25yZXYueG1sUEsFBgAAAAAEAAQA8wAAAHAF&#10;AAAAAA==&#10;" filled="f" stroked="f">
              <v:fill o:detectmouseclick="t"/>
              <v:textbox style="mso-fit-shape-to-text:t" inset="0,0,0,15pt">
                <w:txbxContent>
                  <w:p w:rsidR="00FF2309" w:rsidRPr="00FF2309" w:rsidRDefault="00FF2309" w:rsidP="00FF2309">
                    <w:pPr>
                      <w:spacing w:after="0"/>
                      <w:rPr>
                        <w:rFonts w:ascii="Aptos" w:eastAsia="Aptos" w:hAnsi="Aptos" w:cs="Aptos"/>
                        <w:noProof/>
                        <w:color w:val="000000"/>
                        <w:sz w:val="16"/>
                        <w:szCs w:val="16"/>
                      </w:rPr>
                    </w:pPr>
                    <w:r w:rsidRPr="00FF2309">
                      <w:rPr>
                        <w:rFonts w:ascii="Aptos" w:eastAsia="Aptos" w:hAnsi="Aptos" w:cs="Aptos"/>
                        <w:noProof/>
                        <w:color w:val="000000"/>
                        <w:sz w:val="16"/>
                        <w:szCs w:val="16"/>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A32" w:rsidRDefault="00B30A32" w:rsidP="00857C06">
      <w:pPr>
        <w:spacing w:after="0" w:line="240" w:lineRule="auto"/>
      </w:pPr>
      <w:r>
        <w:separator/>
      </w:r>
    </w:p>
    <w:p w:rsidR="00B30A32" w:rsidRDefault="00B30A32"/>
  </w:footnote>
  <w:footnote w:type="continuationSeparator" w:id="0">
    <w:p w:rsidR="00B30A32" w:rsidRDefault="00B30A32" w:rsidP="00857C06">
      <w:pPr>
        <w:spacing w:after="0" w:line="240" w:lineRule="auto"/>
      </w:pPr>
      <w:r>
        <w:continuationSeparator/>
      </w:r>
    </w:p>
    <w:p w:rsidR="00B30A32" w:rsidRDefault="00B30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829"/>
    </w:tblGrid>
    <w:tr w:rsidR="00532CEF" w:rsidTr="001D75CF">
      <w:tc>
        <w:tcPr>
          <w:tcW w:w="5665" w:type="dxa"/>
        </w:tcPr>
        <w:p w:rsidR="00532CEF" w:rsidRPr="00820F42" w:rsidRDefault="00532CEF" w:rsidP="0050556B">
          <w:pPr>
            <w:pStyle w:val="Encabezado"/>
            <w:jc w:val="both"/>
            <w:rPr>
              <w:i/>
              <w:iCs/>
              <w:color w:val="808080" w:themeColor="background2" w:themeShade="80"/>
              <w:sz w:val="16"/>
              <w:szCs w:val="16"/>
            </w:rPr>
          </w:pPr>
        </w:p>
      </w:tc>
      <w:tc>
        <w:tcPr>
          <w:tcW w:w="2829" w:type="dxa"/>
        </w:tcPr>
        <w:p w:rsidR="00532CEF" w:rsidRPr="00820F42" w:rsidRDefault="00532CEF" w:rsidP="0050556B">
          <w:pPr>
            <w:pStyle w:val="Encabezado"/>
            <w:jc w:val="right"/>
            <w:rPr>
              <w:i/>
              <w:iCs/>
              <w:color w:val="808080" w:themeColor="background2" w:themeShade="80"/>
              <w:sz w:val="16"/>
              <w:szCs w:val="16"/>
            </w:rPr>
          </w:pPr>
        </w:p>
      </w:tc>
    </w:tr>
    <w:tr w:rsidR="00532CEF" w:rsidTr="001D75CF">
      <w:tc>
        <w:tcPr>
          <w:tcW w:w="8494" w:type="dxa"/>
          <w:gridSpan w:val="2"/>
        </w:tcPr>
        <w:p w:rsidR="00532CEF" w:rsidRPr="00820F42" w:rsidRDefault="00532CEF" w:rsidP="0050556B">
          <w:pPr>
            <w:pStyle w:val="Encabezado"/>
            <w:rPr>
              <w:i/>
              <w:iCs/>
              <w:color w:val="808080" w:themeColor="background2" w:themeShade="80"/>
              <w:sz w:val="16"/>
              <w:szCs w:val="16"/>
            </w:rPr>
          </w:pPr>
        </w:p>
      </w:tc>
    </w:tr>
    <w:tr w:rsidR="00532CEF" w:rsidTr="001D75CF">
      <w:tc>
        <w:tcPr>
          <w:tcW w:w="8494" w:type="dxa"/>
          <w:gridSpan w:val="2"/>
        </w:tcPr>
        <w:p w:rsidR="00532CEF" w:rsidRPr="00820F42" w:rsidRDefault="00532CEF" w:rsidP="0050556B">
          <w:pPr>
            <w:pStyle w:val="Encabezado"/>
            <w:rPr>
              <w:i/>
              <w:iCs/>
              <w:color w:val="808080" w:themeColor="background2" w:themeShade="80"/>
              <w:sz w:val="16"/>
              <w:szCs w:val="16"/>
            </w:rPr>
          </w:pPr>
        </w:p>
      </w:tc>
    </w:tr>
  </w:tbl>
  <w:p w:rsidR="00532CEF" w:rsidRPr="0078456D" w:rsidRDefault="00532CEF" w:rsidP="0078456D">
    <w:pPr>
      <w:pStyle w:val="CabeceraDatos"/>
    </w:pPr>
  </w:p>
  <w:p w:rsidR="00532CEF" w:rsidRDefault="00532C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A89"/>
    <w:multiLevelType w:val="multilevel"/>
    <w:tmpl w:val="88F475AA"/>
    <w:numStyleLink w:val="Estilo3"/>
  </w:abstractNum>
  <w:abstractNum w:abstractNumId="1" w15:restartNumberingAfterBreak="0">
    <w:nsid w:val="1E235FF4"/>
    <w:multiLevelType w:val="multilevel"/>
    <w:tmpl w:val="DCF43B84"/>
    <w:styleLink w:val="ListaTelefonic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F779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359F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774034"/>
    <w:multiLevelType w:val="multilevel"/>
    <w:tmpl w:val="88F475AA"/>
    <w:styleLink w:val="Estilo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7382D"/>
    <w:multiLevelType w:val="multilevel"/>
    <w:tmpl w:val="42E497AC"/>
    <w:lvl w:ilvl="0">
      <w:start w:val="1"/>
      <w:numFmt w:val="decimal"/>
      <w:lvlText w:val="%1."/>
      <w:lvlJc w:val="left"/>
      <w:pPr>
        <w:ind w:left="360" w:hanging="360"/>
      </w:pPr>
    </w:lvl>
    <w:lvl w:ilvl="1">
      <w:start w:val="1"/>
      <w:numFmt w:val="decimal"/>
      <w:pStyle w:val="SubttulopginaTelefnica"/>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A6588"/>
    <w:multiLevelType w:val="hybridMultilevel"/>
    <w:tmpl w:val="AD68F1AA"/>
    <w:lvl w:ilvl="0" w:tplc="B7AE08D0">
      <w:start w:val="1"/>
      <w:numFmt w:val="bullet"/>
      <w:lvlText w:val="•"/>
      <w:lvlJc w:val="left"/>
      <w:pPr>
        <w:tabs>
          <w:tab w:val="num" w:pos="360"/>
        </w:tabs>
        <w:ind w:left="360" w:hanging="360"/>
      </w:pPr>
      <w:rPr>
        <w:rFonts w:ascii="Arial" w:hAnsi="Arial" w:hint="default"/>
      </w:rPr>
    </w:lvl>
    <w:lvl w:ilvl="1" w:tplc="9286B098" w:tentative="1">
      <w:start w:val="1"/>
      <w:numFmt w:val="bullet"/>
      <w:lvlText w:val="•"/>
      <w:lvlJc w:val="left"/>
      <w:pPr>
        <w:tabs>
          <w:tab w:val="num" w:pos="1080"/>
        </w:tabs>
        <w:ind w:left="1080" w:hanging="360"/>
      </w:pPr>
      <w:rPr>
        <w:rFonts w:ascii="Arial" w:hAnsi="Arial" w:hint="default"/>
      </w:rPr>
    </w:lvl>
    <w:lvl w:ilvl="2" w:tplc="504AA8E4" w:tentative="1">
      <w:start w:val="1"/>
      <w:numFmt w:val="bullet"/>
      <w:lvlText w:val="•"/>
      <w:lvlJc w:val="left"/>
      <w:pPr>
        <w:tabs>
          <w:tab w:val="num" w:pos="1800"/>
        </w:tabs>
        <w:ind w:left="1800" w:hanging="360"/>
      </w:pPr>
      <w:rPr>
        <w:rFonts w:ascii="Arial" w:hAnsi="Arial" w:hint="default"/>
      </w:rPr>
    </w:lvl>
    <w:lvl w:ilvl="3" w:tplc="BEF8BEF0" w:tentative="1">
      <w:start w:val="1"/>
      <w:numFmt w:val="bullet"/>
      <w:lvlText w:val="•"/>
      <w:lvlJc w:val="left"/>
      <w:pPr>
        <w:tabs>
          <w:tab w:val="num" w:pos="2520"/>
        </w:tabs>
        <w:ind w:left="2520" w:hanging="360"/>
      </w:pPr>
      <w:rPr>
        <w:rFonts w:ascii="Arial" w:hAnsi="Arial" w:hint="default"/>
      </w:rPr>
    </w:lvl>
    <w:lvl w:ilvl="4" w:tplc="88105A38" w:tentative="1">
      <w:start w:val="1"/>
      <w:numFmt w:val="bullet"/>
      <w:lvlText w:val="•"/>
      <w:lvlJc w:val="left"/>
      <w:pPr>
        <w:tabs>
          <w:tab w:val="num" w:pos="3240"/>
        </w:tabs>
        <w:ind w:left="3240" w:hanging="360"/>
      </w:pPr>
      <w:rPr>
        <w:rFonts w:ascii="Arial" w:hAnsi="Arial" w:hint="default"/>
      </w:rPr>
    </w:lvl>
    <w:lvl w:ilvl="5" w:tplc="746CF436" w:tentative="1">
      <w:start w:val="1"/>
      <w:numFmt w:val="bullet"/>
      <w:lvlText w:val="•"/>
      <w:lvlJc w:val="left"/>
      <w:pPr>
        <w:tabs>
          <w:tab w:val="num" w:pos="3960"/>
        </w:tabs>
        <w:ind w:left="3960" w:hanging="360"/>
      </w:pPr>
      <w:rPr>
        <w:rFonts w:ascii="Arial" w:hAnsi="Arial" w:hint="default"/>
      </w:rPr>
    </w:lvl>
    <w:lvl w:ilvl="6" w:tplc="717E54A2" w:tentative="1">
      <w:start w:val="1"/>
      <w:numFmt w:val="bullet"/>
      <w:lvlText w:val="•"/>
      <w:lvlJc w:val="left"/>
      <w:pPr>
        <w:tabs>
          <w:tab w:val="num" w:pos="4680"/>
        </w:tabs>
        <w:ind w:left="4680" w:hanging="360"/>
      </w:pPr>
      <w:rPr>
        <w:rFonts w:ascii="Arial" w:hAnsi="Arial" w:hint="default"/>
      </w:rPr>
    </w:lvl>
    <w:lvl w:ilvl="7" w:tplc="4E7C6312" w:tentative="1">
      <w:start w:val="1"/>
      <w:numFmt w:val="bullet"/>
      <w:lvlText w:val="•"/>
      <w:lvlJc w:val="left"/>
      <w:pPr>
        <w:tabs>
          <w:tab w:val="num" w:pos="5400"/>
        </w:tabs>
        <w:ind w:left="5400" w:hanging="360"/>
      </w:pPr>
      <w:rPr>
        <w:rFonts w:ascii="Arial" w:hAnsi="Arial" w:hint="default"/>
      </w:rPr>
    </w:lvl>
    <w:lvl w:ilvl="8" w:tplc="2A9E5D5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EDB0B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15AED"/>
    <w:multiLevelType w:val="multilevel"/>
    <w:tmpl w:val="AA56399E"/>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B7C02"/>
    <w:multiLevelType w:val="hybridMultilevel"/>
    <w:tmpl w:val="48C2B00E"/>
    <w:lvl w:ilvl="0" w:tplc="BA0A8BCC">
      <w:start w:val="1"/>
      <w:numFmt w:val="bullet"/>
      <w:lvlText w:val="–"/>
      <w:lvlJc w:val="left"/>
      <w:pPr>
        <w:tabs>
          <w:tab w:val="num" w:pos="720"/>
        </w:tabs>
        <w:ind w:left="720" w:hanging="360"/>
      </w:pPr>
      <w:rPr>
        <w:rFonts w:ascii="Arial" w:hAnsi="Arial" w:hint="default"/>
      </w:rPr>
    </w:lvl>
    <w:lvl w:ilvl="1" w:tplc="A1C22200">
      <w:start w:val="1"/>
      <w:numFmt w:val="bullet"/>
      <w:lvlText w:val="–"/>
      <w:lvlJc w:val="left"/>
      <w:pPr>
        <w:tabs>
          <w:tab w:val="num" w:pos="1440"/>
        </w:tabs>
        <w:ind w:left="1440" w:hanging="360"/>
      </w:pPr>
      <w:rPr>
        <w:rFonts w:ascii="Arial" w:hAnsi="Arial" w:hint="default"/>
      </w:rPr>
    </w:lvl>
    <w:lvl w:ilvl="2" w:tplc="ACB87A38">
      <w:numFmt w:val="bullet"/>
      <w:lvlText w:val="•"/>
      <w:lvlJc w:val="left"/>
      <w:pPr>
        <w:tabs>
          <w:tab w:val="num" w:pos="2160"/>
        </w:tabs>
        <w:ind w:left="2160" w:hanging="360"/>
      </w:pPr>
      <w:rPr>
        <w:rFonts w:ascii="Arial" w:hAnsi="Arial" w:hint="default"/>
      </w:rPr>
    </w:lvl>
    <w:lvl w:ilvl="3" w:tplc="36C0B6F0" w:tentative="1">
      <w:start w:val="1"/>
      <w:numFmt w:val="bullet"/>
      <w:lvlText w:val="–"/>
      <w:lvlJc w:val="left"/>
      <w:pPr>
        <w:tabs>
          <w:tab w:val="num" w:pos="2880"/>
        </w:tabs>
        <w:ind w:left="2880" w:hanging="360"/>
      </w:pPr>
      <w:rPr>
        <w:rFonts w:ascii="Arial" w:hAnsi="Arial" w:hint="default"/>
      </w:rPr>
    </w:lvl>
    <w:lvl w:ilvl="4" w:tplc="C94050D4" w:tentative="1">
      <w:start w:val="1"/>
      <w:numFmt w:val="bullet"/>
      <w:lvlText w:val="–"/>
      <w:lvlJc w:val="left"/>
      <w:pPr>
        <w:tabs>
          <w:tab w:val="num" w:pos="3600"/>
        </w:tabs>
        <w:ind w:left="3600" w:hanging="360"/>
      </w:pPr>
      <w:rPr>
        <w:rFonts w:ascii="Arial" w:hAnsi="Arial" w:hint="default"/>
      </w:rPr>
    </w:lvl>
    <w:lvl w:ilvl="5" w:tplc="51B606E0" w:tentative="1">
      <w:start w:val="1"/>
      <w:numFmt w:val="bullet"/>
      <w:lvlText w:val="–"/>
      <w:lvlJc w:val="left"/>
      <w:pPr>
        <w:tabs>
          <w:tab w:val="num" w:pos="4320"/>
        </w:tabs>
        <w:ind w:left="4320" w:hanging="360"/>
      </w:pPr>
      <w:rPr>
        <w:rFonts w:ascii="Arial" w:hAnsi="Arial" w:hint="default"/>
      </w:rPr>
    </w:lvl>
    <w:lvl w:ilvl="6" w:tplc="406E08F6" w:tentative="1">
      <w:start w:val="1"/>
      <w:numFmt w:val="bullet"/>
      <w:lvlText w:val="–"/>
      <w:lvlJc w:val="left"/>
      <w:pPr>
        <w:tabs>
          <w:tab w:val="num" w:pos="5040"/>
        </w:tabs>
        <w:ind w:left="5040" w:hanging="360"/>
      </w:pPr>
      <w:rPr>
        <w:rFonts w:ascii="Arial" w:hAnsi="Arial" w:hint="default"/>
      </w:rPr>
    </w:lvl>
    <w:lvl w:ilvl="7" w:tplc="36D269F4" w:tentative="1">
      <w:start w:val="1"/>
      <w:numFmt w:val="bullet"/>
      <w:lvlText w:val="–"/>
      <w:lvlJc w:val="left"/>
      <w:pPr>
        <w:tabs>
          <w:tab w:val="num" w:pos="5760"/>
        </w:tabs>
        <w:ind w:left="5760" w:hanging="360"/>
      </w:pPr>
      <w:rPr>
        <w:rFonts w:ascii="Arial" w:hAnsi="Arial" w:hint="default"/>
      </w:rPr>
    </w:lvl>
    <w:lvl w:ilvl="8" w:tplc="46C0C2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D77FA4"/>
    <w:multiLevelType w:val="hybridMultilevel"/>
    <w:tmpl w:val="14B813A6"/>
    <w:lvl w:ilvl="0" w:tplc="46DE39C8">
      <w:start w:val="1"/>
      <w:numFmt w:val="bullet"/>
      <w:lvlText w:val="–"/>
      <w:lvlJc w:val="left"/>
      <w:pPr>
        <w:tabs>
          <w:tab w:val="num" w:pos="720"/>
        </w:tabs>
        <w:ind w:left="720" w:hanging="360"/>
      </w:pPr>
      <w:rPr>
        <w:rFonts w:ascii="Arial" w:hAnsi="Arial" w:hint="default"/>
      </w:rPr>
    </w:lvl>
    <w:lvl w:ilvl="1" w:tplc="2758CFE6">
      <w:start w:val="1"/>
      <w:numFmt w:val="bullet"/>
      <w:lvlText w:val="–"/>
      <w:lvlJc w:val="left"/>
      <w:pPr>
        <w:tabs>
          <w:tab w:val="num" w:pos="1440"/>
        </w:tabs>
        <w:ind w:left="1440" w:hanging="360"/>
      </w:pPr>
      <w:rPr>
        <w:rFonts w:ascii="Arial" w:hAnsi="Arial" w:hint="default"/>
      </w:rPr>
    </w:lvl>
    <w:lvl w:ilvl="2" w:tplc="2C868FCC">
      <w:numFmt w:val="bullet"/>
      <w:lvlText w:val="•"/>
      <w:lvlJc w:val="left"/>
      <w:pPr>
        <w:tabs>
          <w:tab w:val="num" w:pos="2160"/>
        </w:tabs>
        <w:ind w:left="2160" w:hanging="360"/>
      </w:pPr>
      <w:rPr>
        <w:rFonts w:ascii="Arial" w:hAnsi="Arial" w:hint="default"/>
      </w:rPr>
    </w:lvl>
    <w:lvl w:ilvl="3" w:tplc="04765DCA" w:tentative="1">
      <w:start w:val="1"/>
      <w:numFmt w:val="bullet"/>
      <w:lvlText w:val="–"/>
      <w:lvlJc w:val="left"/>
      <w:pPr>
        <w:tabs>
          <w:tab w:val="num" w:pos="2880"/>
        </w:tabs>
        <w:ind w:left="2880" w:hanging="360"/>
      </w:pPr>
      <w:rPr>
        <w:rFonts w:ascii="Arial" w:hAnsi="Arial" w:hint="default"/>
      </w:rPr>
    </w:lvl>
    <w:lvl w:ilvl="4" w:tplc="66CC1B66" w:tentative="1">
      <w:start w:val="1"/>
      <w:numFmt w:val="bullet"/>
      <w:lvlText w:val="–"/>
      <w:lvlJc w:val="left"/>
      <w:pPr>
        <w:tabs>
          <w:tab w:val="num" w:pos="3600"/>
        </w:tabs>
        <w:ind w:left="3600" w:hanging="360"/>
      </w:pPr>
      <w:rPr>
        <w:rFonts w:ascii="Arial" w:hAnsi="Arial" w:hint="default"/>
      </w:rPr>
    </w:lvl>
    <w:lvl w:ilvl="5" w:tplc="5D7CF262" w:tentative="1">
      <w:start w:val="1"/>
      <w:numFmt w:val="bullet"/>
      <w:lvlText w:val="–"/>
      <w:lvlJc w:val="left"/>
      <w:pPr>
        <w:tabs>
          <w:tab w:val="num" w:pos="4320"/>
        </w:tabs>
        <w:ind w:left="4320" w:hanging="360"/>
      </w:pPr>
      <w:rPr>
        <w:rFonts w:ascii="Arial" w:hAnsi="Arial" w:hint="default"/>
      </w:rPr>
    </w:lvl>
    <w:lvl w:ilvl="6" w:tplc="49B06AAE" w:tentative="1">
      <w:start w:val="1"/>
      <w:numFmt w:val="bullet"/>
      <w:lvlText w:val="–"/>
      <w:lvlJc w:val="left"/>
      <w:pPr>
        <w:tabs>
          <w:tab w:val="num" w:pos="5040"/>
        </w:tabs>
        <w:ind w:left="5040" w:hanging="360"/>
      </w:pPr>
      <w:rPr>
        <w:rFonts w:ascii="Arial" w:hAnsi="Arial" w:hint="default"/>
      </w:rPr>
    </w:lvl>
    <w:lvl w:ilvl="7" w:tplc="353A8300" w:tentative="1">
      <w:start w:val="1"/>
      <w:numFmt w:val="bullet"/>
      <w:lvlText w:val="–"/>
      <w:lvlJc w:val="left"/>
      <w:pPr>
        <w:tabs>
          <w:tab w:val="num" w:pos="5760"/>
        </w:tabs>
        <w:ind w:left="5760" w:hanging="360"/>
      </w:pPr>
      <w:rPr>
        <w:rFonts w:ascii="Arial" w:hAnsi="Arial" w:hint="default"/>
      </w:rPr>
    </w:lvl>
    <w:lvl w:ilvl="8" w:tplc="FD206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531EEC"/>
    <w:multiLevelType w:val="multilevel"/>
    <w:tmpl w:val="B3404DDA"/>
    <w:styleLink w:val="NuevaListaTelefonica"/>
    <w:lvl w:ilvl="0">
      <w:start w:val="1"/>
      <w:numFmt w:val="decimal"/>
      <w:pStyle w:val="Ttulo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8343BD"/>
    <w:multiLevelType w:val="multilevel"/>
    <w:tmpl w:val="AA56399E"/>
    <w:numStyleLink w:val="Estilo2"/>
  </w:abstractNum>
  <w:abstractNum w:abstractNumId="13" w15:restartNumberingAfterBreak="0">
    <w:nsid w:val="629234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065199"/>
    <w:multiLevelType w:val="multilevel"/>
    <w:tmpl w:val="3B90849C"/>
    <w:lvl w:ilvl="0">
      <w:start w:val="1"/>
      <w:numFmt w:val="decimal"/>
      <w:pStyle w:val="TtulopginaTelefnic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4B2BC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10382"/>
    <w:multiLevelType w:val="hybridMultilevel"/>
    <w:tmpl w:val="95C887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2578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261D51"/>
    <w:multiLevelType w:val="multilevel"/>
    <w:tmpl w:val="3D5EB38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554B96"/>
    <w:multiLevelType w:val="multilevel"/>
    <w:tmpl w:val="AA56399E"/>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150773">
    <w:abstractNumId w:val="10"/>
  </w:num>
  <w:num w:numId="2" w16cid:durableId="1527868670">
    <w:abstractNumId w:val="9"/>
  </w:num>
  <w:num w:numId="3" w16cid:durableId="1559628754">
    <w:abstractNumId w:val="6"/>
  </w:num>
  <w:num w:numId="4" w16cid:durableId="139274789">
    <w:abstractNumId w:val="16"/>
  </w:num>
  <w:num w:numId="5" w16cid:durableId="921720549">
    <w:abstractNumId w:val="14"/>
  </w:num>
  <w:num w:numId="6" w16cid:durableId="1573153308">
    <w:abstractNumId w:val="12"/>
  </w:num>
  <w:num w:numId="7" w16cid:durableId="1461218739">
    <w:abstractNumId w:val="2"/>
  </w:num>
  <w:num w:numId="8" w16cid:durableId="1693872520">
    <w:abstractNumId w:val="19"/>
  </w:num>
  <w:num w:numId="9" w16cid:durableId="249512905">
    <w:abstractNumId w:val="18"/>
  </w:num>
  <w:num w:numId="10" w16cid:durableId="43600847">
    <w:abstractNumId w:val="3"/>
  </w:num>
  <w:num w:numId="11" w16cid:durableId="497812417">
    <w:abstractNumId w:val="8"/>
  </w:num>
  <w:num w:numId="12" w16cid:durableId="1024861577">
    <w:abstractNumId w:val="5"/>
  </w:num>
  <w:num w:numId="13" w16cid:durableId="708333201">
    <w:abstractNumId w:val="4"/>
  </w:num>
  <w:num w:numId="14" w16cid:durableId="933824410">
    <w:abstractNumId w:val="0"/>
  </w:num>
  <w:num w:numId="15" w16cid:durableId="1003699992">
    <w:abstractNumId w:val="15"/>
  </w:num>
  <w:num w:numId="16" w16cid:durableId="1561555195">
    <w:abstractNumId w:val="13"/>
  </w:num>
  <w:num w:numId="17" w16cid:durableId="1607076591">
    <w:abstractNumId w:val="1"/>
  </w:num>
  <w:num w:numId="18" w16cid:durableId="2111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530065">
    <w:abstractNumId w:val="17"/>
  </w:num>
  <w:num w:numId="20" w16cid:durableId="1414086003">
    <w:abstractNumId w:val="11"/>
  </w:num>
  <w:num w:numId="21" w16cid:durableId="8065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6E"/>
    <w:rsid w:val="00003DEE"/>
    <w:rsid w:val="00010C60"/>
    <w:rsid w:val="000204E4"/>
    <w:rsid w:val="00024257"/>
    <w:rsid w:val="00031E20"/>
    <w:rsid w:val="00034D7E"/>
    <w:rsid w:val="000413FC"/>
    <w:rsid w:val="00047264"/>
    <w:rsid w:val="00050AC8"/>
    <w:rsid w:val="00064C61"/>
    <w:rsid w:val="00066F7F"/>
    <w:rsid w:val="00067192"/>
    <w:rsid w:val="00082C98"/>
    <w:rsid w:val="000942F9"/>
    <w:rsid w:val="0009485D"/>
    <w:rsid w:val="000A1870"/>
    <w:rsid w:val="000B15C9"/>
    <w:rsid w:val="000C2403"/>
    <w:rsid w:val="000C5F11"/>
    <w:rsid w:val="000C71EC"/>
    <w:rsid w:val="000E7D11"/>
    <w:rsid w:val="000F29AA"/>
    <w:rsid w:val="000F349A"/>
    <w:rsid w:val="001009D0"/>
    <w:rsid w:val="00112947"/>
    <w:rsid w:val="00113F48"/>
    <w:rsid w:val="00117A8C"/>
    <w:rsid w:val="00125D9B"/>
    <w:rsid w:val="001309EE"/>
    <w:rsid w:val="00135D30"/>
    <w:rsid w:val="00143EB9"/>
    <w:rsid w:val="00151B73"/>
    <w:rsid w:val="00151E15"/>
    <w:rsid w:val="001574B3"/>
    <w:rsid w:val="00160E4D"/>
    <w:rsid w:val="001669EF"/>
    <w:rsid w:val="00175A8B"/>
    <w:rsid w:val="00182042"/>
    <w:rsid w:val="001870CE"/>
    <w:rsid w:val="0018797D"/>
    <w:rsid w:val="001C2DDF"/>
    <w:rsid w:val="001D68D5"/>
    <w:rsid w:val="001D7758"/>
    <w:rsid w:val="001E7A9F"/>
    <w:rsid w:val="001F446C"/>
    <w:rsid w:val="0020207E"/>
    <w:rsid w:val="00207D15"/>
    <w:rsid w:val="00215286"/>
    <w:rsid w:val="00216AF9"/>
    <w:rsid w:val="0021760F"/>
    <w:rsid w:val="00227783"/>
    <w:rsid w:val="002324B1"/>
    <w:rsid w:val="00261EEA"/>
    <w:rsid w:val="002673BD"/>
    <w:rsid w:val="00277B06"/>
    <w:rsid w:val="00281EBA"/>
    <w:rsid w:val="00283CEB"/>
    <w:rsid w:val="00284BE5"/>
    <w:rsid w:val="0028506D"/>
    <w:rsid w:val="00287D5B"/>
    <w:rsid w:val="00297A92"/>
    <w:rsid w:val="002A00AE"/>
    <w:rsid w:val="002A3E5E"/>
    <w:rsid w:val="002A75C0"/>
    <w:rsid w:val="002B2AF0"/>
    <w:rsid w:val="002B3D5E"/>
    <w:rsid w:val="002B3FDF"/>
    <w:rsid w:val="002B7D8B"/>
    <w:rsid w:val="002C17B7"/>
    <w:rsid w:val="002C2DA4"/>
    <w:rsid w:val="002C550D"/>
    <w:rsid w:val="002C668A"/>
    <w:rsid w:val="002F7640"/>
    <w:rsid w:val="00301D07"/>
    <w:rsid w:val="00303383"/>
    <w:rsid w:val="00303766"/>
    <w:rsid w:val="00343557"/>
    <w:rsid w:val="003527B0"/>
    <w:rsid w:val="003563F1"/>
    <w:rsid w:val="0036794D"/>
    <w:rsid w:val="0038087E"/>
    <w:rsid w:val="00382057"/>
    <w:rsid w:val="003847EB"/>
    <w:rsid w:val="00390237"/>
    <w:rsid w:val="00392505"/>
    <w:rsid w:val="0039260B"/>
    <w:rsid w:val="003974E8"/>
    <w:rsid w:val="003B0719"/>
    <w:rsid w:val="003C0DAD"/>
    <w:rsid w:val="003C0E26"/>
    <w:rsid w:val="003C45A1"/>
    <w:rsid w:val="003E5177"/>
    <w:rsid w:val="003E5EE7"/>
    <w:rsid w:val="003F1F7D"/>
    <w:rsid w:val="004215E2"/>
    <w:rsid w:val="004307F6"/>
    <w:rsid w:val="00441E27"/>
    <w:rsid w:val="004426D6"/>
    <w:rsid w:val="0045617C"/>
    <w:rsid w:val="004579A6"/>
    <w:rsid w:val="00480ACC"/>
    <w:rsid w:val="0048129E"/>
    <w:rsid w:val="0048408C"/>
    <w:rsid w:val="0049508E"/>
    <w:rsid w:val="004A2711"/>
    <w:rsid w:val="004B3AFF"/>
    <w:rsid w:val="004C1812"/>
    <w:rsid w:val="004C33DA"/>
    <w:rsid w:val="004D072C"/>
    <w:rsid w:val="004E22D3"/>
    <w:rsid w:val="004F7F16"/>
    <w:rsid w:val="0050556B"/>
    <w:rsid w:val="00514245"/>
    <w:rsid w:val="0052228D"/>
    <w:rsid w:val="00532CEF"/>
    <w:rsid w:val="005406FA"/>
    <w:rsid w:val="00542851"/>
    <w:rsid w:val="00550D9B"/>
    <w:rsid w:val="00552138"/>
    <w:rsid w:val="00560E8F"/>
    <w:rsid w:val="0056534A"/>
    <w:rsid w:val="005654AA"/>
    <w:rsid w:val="005664C8"/>
    <w:rsid w:val="00577933"/>
    <w:rsid w:val="00581CF2"/>
    <w:rsid w:val="005976F8"/>
    <w:rsid w:val="005B1C00"/>
    <w:rsid w:val="005B4004"/>
    <w:rsid w:val="005B50EF"/>
    <w:rsid w:val="005B7FB7"/>
    <w:rsid w:val="005D33C6"/>
    <w:rsid w:val="005F6C02"/>
    <w:rsid w:val="00602643"/>
    <w:rsid w:val="006174D3"/>
    <w:rsid w:val="0062202D"/>
    <w:rsid w:val="00632322"/>
    <w:rsid w:val="00632775"/>
    <w:rsid w:val="006342DD"/>
    <w:rsid w:val="00644ADA"/>
    <w:rsid w:val="00652CF9"/>
    <w:rsid w:val="0066386E"/>
    <w:rsid w:val="0066538F"/>
    <w:rsid w:val="00665860"/>
    <w:rsid w:val="00666A74"/>
    <w:rsid w:val="0067616A"/>
    <w:rsid w:val="00677046"/>
    <w:rsid w:val="006772F1"/>
    <w:rsid w:val="00680DDB"/>
    <w:rsid w:val="0068688A"/>
    <w:rsid w:val="006948F0"/>
    <w:rsid w:val="006B7A2B"/>
    <w:rsid w:val="006C7D5B"/>
    <w:rsid w:val="006E642E"/>
    <w:rsid w:val="006F13A5"/>
    <w:rsid w:val="006F35E2"/>
    <w:rsid w:val="006F65EA"/>
    <w:rsid w:val="00700AAA"/>
    <w:rsid w:val="007135A3"/>
    <w:rsid w:val="007233B7"/>
    <w:rsid w:val="007247A6"/>
    <w:rsid w:val="0074206C"/>
    <w:rsid w:val="00742C4C"/>
    <w:rsid w:val="00746DC8"/>
    <w:rsid w:val="00746F3D"/>
    <w:rsid w:val="00757C07"/>
    <w:rsid w:val="007661A7"/>
    <w:rsid w:val="007746EC"/>
    <w:rsid w:val="00775BAD"/>
    <w:rsid w:val="00776B3C"/>
    <w:rsid w:val="00780555"/>
    <w:rsid w:val="0078456D"/>
    <w:rsid w:val="007A7970"/>
    <w:rsid w:val="007D27C9"/>
    <w:rsid w:val="007F01F2"/>
    <w:rsid w:val="00806C52"/>
    <w:rsid w:val="00806D1F"/>
    <w:rsid w:val="00820F42"/>
    <w:rsid w:val="00822C76"/>
    <w:rsid w:val="008348DA"/>
    <w:rsid w:val="0084045D"/>
    <w:rsid w:val="00844132"/>
    <w:rsid w:val="00851F62"/>
    <w:rsid w:val="00856198"/>
    <w:rsid w:val="00856764"/>
    <w:rsid w:val="00857C06"/>
    <w:rsid w:val="00873D9A"/>
    <w:rsid w:val="008742EE"/>
    <w:rsid w:val="00882D18"/>
    <w:rsid w:val="008849C9"/>
    <w:rsid w:val="00891F25"/>
    <w:rsid w:val="00892749"/>
    <w:rsid w:val="00893A3E"/>
    <w:rsid w:val="008A38EC"/>
    <w:rsid w:val="008B7416"/>
    <w:rsid w:val="008C5242"/>
    <w:rsid w:val="008C6592"/>
    <w:rsid w:val="008D0F43"/>
    <w:rsid w:val="008D43FB"/>
    <w:rsid w:val="008E1C9B"/>
    <w:rsid w:val="00903DB1"/>
    <w:rsid w:val="0090411D"/>
    <w:rsid w:val="00922041"/>
    <w:rsid w:val="00925CC4"/>
    <w:rsid w:val="00941530"/>
    <w:rsid w:val="00952BF2"/>
    <w:rsid w:val="00952DB1"/>
    <w:rsid w:val="009624C3"/>
    <w:rsid w:val="00980D9D"/>
    <w:rsid w:val="00987516"/>
    <w:rsid w:val="009B38E8"/>
    <w:rsid w:val="009C345A"/>
    <w:rsid w:val="009D7220"/>
    <w:rsid w:val="009E4061"/>
    <w:rsid w:val="009F0105"/>
    <w:rsid w:val="009F2565"/>
    <w:rsid w:val="009F3AE1"/>
    <w:rsid w:val="00A1263C"/>
    <w:rsid w:val="00A17F20"/>
    <w:rsid w:val="00A323B4"/>
    <w:rsid w:val="00A500E7"/>
    <w:rsid w:val="00A61586"/>
    <w:rsid w:val="00A71A62"/>
    <w:rsid w:val="00A72662"/>
    <w:rsid w:val="00AA4168"/>
    <w:rsid w:val="00AA5A3C"/>
    <w:rsid w:val="00AB0791"/>
    <w:rsid w:val="00AB658A"/>
    <w:rsid w:val="00AB66CE"/>
    <w:rsid w:val="00B14819"/>
    <w:rsid w:val="00B21758"/>
    <w:rsid w:val="00B2417F"/>
    <w:rsid w:val="00B25AC5"/>
    <w:rsid w:val="00B30A32"/>
    <w:rsid w:val="00B341C8"/>
    <w:rsid w:val="00B423EA"/>
    <w:rsid w:val="00B4427B"/>
    <w:rsid w:val="00B575A4"/>
    <w:rsid w:val="00B712DB"/>
    <w:rsid w:val="00B74DD8"/>
    <w:rsid w:val="00B76C19"/>
    <w:rsid w:val="00B856F7"/>
    <w:rsid w:val="00B978B4"/>
    <w:rsid w:val="00BB16E0"/>
    <w:rsid w:val="00BD015F"/>
    <w:rsid w:val="00BD0E7C"/>
    <w:rsid w:val="00BD1148"/>
    <w:rsid w:val="00BE426A"/>
    <w:rsid w:val="00BF0B12"/>
    <w:rsid w:val="00BF11D5"/>
    <w:rsid w:val="00C06119"/>
    <w:rsid w:val="00C127C1"/>
    <w:rsid w:val="00C17D8A"/>
    <w:rsid w:val="00C2212A"/>
    <w:rsid w:val="00C24B3E"/>
    <w:rsid w:val="00C27B42"/>
    <w:rsid w:val="00C32648"/>
    <w:rsid w:val="00C330C5"/>
    <w:rsid w:val="00C330E3"/>
    <w:rsid w:val="00C3668A"/>
    <w:rsid w:val="00C44AE4"/>
    <w:rsid w:val="00C556BC"/>
    <w:rsid w:val="00C56C7C"/>
    <w:rsid w:val="00C604CB"/>
    <w:rsid w:val="00C901AE"/>
    <w:rsid w:val="00C90772"/>
    <w:rsid w:val="00C93898"/>
    <w:rsid w:val="00C943EC"/>
    <w:rsid w:val="00C94EE6"/>
    <w:rsid w:val="00C96CDC"/>
    <w:rsid w:val="00CB53B1"/>
    <w:rsid w:val="00CC057B"/>
    <w:rsid w:val="00CC4B94"/>
    <w:rsid w:val="00CC6149"/>
    <w:rsid w:val="00CD0A2E"/>
    <w:rsid w:val="00CD4EE9"/>
    <w:rsid w:val="00CD65A2"/>
    <w:rsid w:val="00D0210D"/>
    <w:rsid w:val="00D02335"/>
    <w:rsid w:val="00D0313D"/>
    <w:rsid w:val="00D1528F"/>
    <w:rsid w:val="00D177E3"/>
    <w:rsid w:val="00D25F2B"/>
    <w:rsid w:val="00D34D1F"/>
    <w:rsid w:val="00D45F37"/>
    <w:rsid w:val="00D5356A"/>
    <w:rsid w:val="00D54EDA"/>
    <w:rsid w:val="00D66BE9"/>
    <w:rsid w:val="00D706CF"/>
    <w:rsid w:val="00D73D12"/>
    <w:rsid w:val="00D829A9"/>
    <w:rsid w:val="00D900EE"/>
    <w:rsid w:val="00D938DC"/>
    <w:rsid w:val="00DA245D"/>
    <w:rsid w:val="00DA749A"/>
    <w:rsid w:val="00DB0EE5"/>
    <w:rsid w:val="00DB4314"/>
    <w:rsid w:val="00DB5C90"/>
    <w:rsid w:val="00DC5C9B"/>
    <w:rsid w:val="00DD1E22"/>
    <w:rsid w:val="00DD6F27"/>
    <w:rsid w:val="00DE26E1"/>
    <w:rsid w:val="00DE3D2E"/>
    <w:rsid w:val="00E05A61"/>
    <w:rsid w:val="00E2503B"/>
    <w:rsid w:val="00E2692C"/>
    <w:rsid w:val="00E27720"/>
    <w:rsid w:val="00E403FC"/>
    <w:rsid w:val="00E5778C"/>
    <w:rsid w:val="00E732E8"/>
    <w:rsid w:val="00E75CD6"/>
    <w:rsid w:val="00E838DE"/>
    <w:rsid w:val="00E85E6E"/>
    <w:rsid w:val="00E96671"/>
    <w:rsid w:val="00EA5FAF"/>
    <w:rsid w:val="00EC0280"/>
    <w:rsid w:val="00EC1BB4"/>
    <w:rsid w:val="00EE146B"/>
    <w:rsid w:val="00EE3820"/>
    <w:rsid w:val="00EF4073"/>
    <w:rsid w:val="00F048C4"/>
    <w:rsid w:val="00F0677C"/>
    <w:rsid w:val="00F1583B"/>
    <w:rsid w:val="00F30621"/>
    <w:rsid w:val="00F33FD0"/>
    <w:rsid w:val="00F34111"/>
    <w:rsid w:val="00F34FA4"/>
    <w:rsid w:val="00F37379"/>
    <w:rsid w:val="00F4088C"/>
    <w:rsid w:val="00F40BD6"/>
    <w:rsid w:val="00F44F0D"/>
    <w:rsid w:val="00F46AB6"/>
    <w:rsid w:val="00F50800"/>
    <w:rsid w:val="00F522CC"/>
    <w:rsid w:val="00F64946"/>
    <w:rsid w:val="00F706B6"/>
    <w:rsid w:val="00F76BE2"/>
    <w:rsid w:val="00F81107"/>
    <w:rsid w:val="00FA0B33"/>
    <w:rsid w:val="00FA654D"/>
    <w:rsid w:val="00FA7524"/>
    <w:rsid w:val="00FB4514"/>
    <w:rsid w:val="00FB766E"/>
    <w:rsid w:val="00FC3A4C"/>
    <w:rsid w:val="00FC6BEE"/>
    <w:rsid w:val="00FD00BD"/>
    <w:rsid w:val="00FD7B6A"/>
    <w:rsid w:val="00FE3641"/>
    <w:rsid w:val="00FE3B42"/>
    <w:rsid w:val="00FE46AD"/>
    <w:rsid w:val="00FE5407"/>
    <w:rsid w:val="00FF2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82A5"/>
  <w15:chartTrackingRefBased/>
  <w15:docId w15:val="{932A0324-E9F2-4822-9268-255938A9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rsid w:val="00C556BC"/>
  </w:style>
  <w:style w:type="paragraph" w:styleId="Ttulo1">
    <w:name w:val="heading 1"/>
    <w:basedOn w:val="Normal"/>
    <w:next w:val="Normal"/>
    <w:link w:val="Ttulo1Car"/>
    <w:qFormat/>
    <w:rsid w:val="008C6592"/>
    <w:pPr>
      <w:keepNext/>
      <w:keepLines/>
      <w:numPr>
        <w:numId w:val="20"/>
      </w:numPr>
      <w:spacing w:before="240" w:after="240"/>
      <w:ind w:left="357" w:hanging="357"/>
      <w:outlineLvl w:val="0"/>
    </w:pPr>
    <w:rPr>
      <w:rFonts w:asciiTheme="majorHAnsi" w:eastAsiaTheme="majorEastAsia" w:hAnsiTheme="majorHAnsi" w:cstheme="majorBidi"/>
      <w:color w:val="0C6DFF"/>
      <w:sz w:val="36"/>
      <w:szCs w:val="32"/>
    </w:rPr>
  </w:style>
  <w:style w:type="paragraph" w:styleId="Ttulo2">
    <w:name w:val="heading 2"/>
    <w:basedOn w:val="Normal"/>
    <w:next w:val="Normal"/>
    <w:link w:val="Ttulo2Car"/>
    <w:uiPriority w:val="1"/>
    <w:qFormat/>
    <w:rsid w:val="008C6592"/>
    <w:pPr>
      <w:keepNext/>
      <w:keepLines/>
      <w:numPr>
        <w:ilvl w:val="1"/>
        <w:numId w:val="20"/>
      </w:numPr>
      <w:spacing w:after="240"/>
      <w:ind w:left="788" w:hanging="431"/>
      <w:outlineLvl w:val="1"/>
    </w:pPr>
    <w:rPr>
      <w:rFonts w:asciiTheme="majorHAnsi" w:eastAsiaTheme="majorEastAsia" w:hAnsiTheme="majorHAnsi" w:cstheme="majorBidi"/>
      <w:b/>
      <w:color w:val="606060"/>
      <w:sz w:val="24"/>
      <w:szCs w:val="26"/>
    </w:rPr>
  </w:style>
  <w:style w:type="paragraph" w:styleId="Ttulo3">
    <w:name w:val="heading 3"/>
    <w:basedOn w:val="Normal"/>
    <w:next w:val="PrrafoTelefnica"/>
    <w:link w:val="Ttulo3Car"/>
    <w:uiPriority w:val="2"/>
    <w:qFormat/>
    <w:rsid w:val="008C6592"/>
    <w:pPr>
      <w:keepNext/>
      <w:keepLines/>
      <w:numPr>
        <w:ilvl w:val="2"/>
        <w:numId w:val="20"/>
      </w:numPr>
      <w:spacing w:after="0"/>
      <w:ind w:left="1225" w:hanging="505"/>
      <w:outlineLvl w:val="2"/>
    </w:pPr>
    <w:rPr>
      <w:rFonts w:asciiTheme="majorHAnsi" w:eastAsiaTheme="majorEastAsia" w:hAnsiTheme="majorHAnsi" w:cstheme="majorBidi"/>
      <w:color w:val="363B49" w:themeColor="accent1" w:themeShade="7F"/>
      <w:sz w:val="24"/>
      <w:szCs w:val="24"/>
    </w:rPr>
  </w:style>
  <w:style w:type="paragraph" w:styleId="Ttulo4">
    <w:name w:val="heading 4"/>
    <w:basedOn w:val="Normal"/>
    <w:next w:val="Normal"/>
    <w:link w:val="Ttulo4Car"/>
    <w:uiPriority w:val="9"/>
    <w:semiHidden/>
    <w:unhideWhenUsed/>
    <w:qFormat/>
    <w:rsid w:val="00E85E6E"/>
    <w:pPr>
      <w:keepNext/>
      <w:keepLines/>
      <w:spacing w:before="80" w:after="40"/>
      <w:outlineLvl w:val="3"/>
    </w:pPr>
    <w:rPr>
      <w:rFonts w:eastAsiaTheme="majorEastAsia" w:cstheme="majorBidi"/>
      <w:i/>
      <w:iCs/>
      <w:color w:val="52596E" w:themeColor="accent1" w:themeShade="BF"/>
    </w:rPr>
  </w:style>
  <w:style w:type="paragraph" w:styleId="Ttulo5">
    <w:name w:val="heading 5"/>
    <w:basedOn w:val="Normal"/>
    <w:next w:val="Normal"/>
    <w:link w:val="Ttulo5Car"/>
    <w:uiPriority w:val="9"/>
    <w:semiHidden/>
    <w:unhideWhenUsed/>
    <w:qFormat/>
    <w:rsid w:val="00E85E6E"/>
    <w:pPr>
      <w:keepNext/>
      <w:keepLines/>
      <w:spacing w:before="80" w:after="40"/>
      <w:outlineLvl w:val="4"/>
    </w:pPr>
    <w:rPr>
      <w:rFonts w:eastAsiaTheme="majorEastAsia" w:cstheme="majorBidi"/>
      <w:color w:val="52596E" w:themeColor="accent1" w:themeShade="BF"/>
    </w:rPr>
  </w:style>
  <w:style w:type="paragraph" w:styleId="Ttulo6">
    <w:name w:val="heading 6"/>
    <w:basedOn w:val="Normal"/>
    <w:next w:val="Normal"/>
    <w:link w:val="Ttulo6Car"/>
    <w:uiPriority w:val="9"/>
    <w:semiHidden/>
    <w:unhideWhenUsed/>
    <w:qFormat/>
    <w:rsid w:val="00E85E6E"/>
    <w:pPr>
      <w:keepNext/>
      <w:keepLines/>
      <w:spacing w:before="40" w:after="0"/>
      <w:outlineLvl w:val="5"/>
    </w:pPr>
    <w:rPr>
      <w:rFonts w:eastAsiaTheme="majorEastAsia" w:cstheme="majorBidi"/>
      <w:i/>
      <w:iCs/>
      <w:color w:val="609FFF" w:themeColor="text1" w:themeTint="A6"/>
    </w:rPr>
  </w:style>
  <w:style w:type="paragraph" w:styleId="Ttulo7">
    <w:name w:val="heading 7"/>
    <w:basedOn w:val="Normal"/>
    <w:next w:val="Normal"/>
    <w:link w:val="Ttulo7Car"/>
    <w:uiPriority w:val="9"/>
    <w:semiHidden/>
    <w:unhideWhenUsed/>
    <w:qFormat/>
    <w:rsid w:val="00E85E6E"/>
    <w:pPr>
      <w:keepNext/>
      <w:keepLines/>
      <w:spacing w:before="40" w:after="0"/>
      <w:outlineLvl w:val="6"/>
    </w:pPr>
    <w:rPr>
      <w:rFonts w:eastAsiaTheme="majorEastAsia" w:cstheme="majorBidi"/>
      <w:color w:val="609FFF" w:themeColor="text1" w:themeTint="A6"/>
    </w:rPr>
  </w:style>
  <w:style w:type="paragraph" w:styleId="Ttulo8">
    <w:name w:val="heading 8"/>
    <w:basedOn w:val="Normal"/>
    <w:next w:val="Normal"/>
    <w:link w:val="Ttulo8Car"/>
    <w:uiPriority w:val="9"/>
    <w:semiHidden/>
    <w:unhideWhenUsed/>
    <w:qFormat/>
    <w:rsid w:val="00E85E6E"/>
    <w:pPr>
      <w:keepNext/>
      <w:keepLines/>
      <w:spacing w:after="0"/>
      <w:outlineLvl w:val="7"/>
    </w:pPr>
    <w:rPr>
      <w:rFonts w:eastAsiaTheme="majorEastAsia" w:cstheme="majorBidi"/>
      <w:i/>
      <w:iCs/>
      <w:color w:val="3182FF" w:themeColor="text1" w:themeTint="D8"/>
    </w:rPr>
  </w:style>
  <w:style w:type="paragraph" w:styleId="Ttulo9">
    <w:name w:val="heading 9"/>
    <w:basedOn w:val="Normal"/>
    <w:next w:val="Normal"/>
    <w:link w:val="Ttulo9Car"/>
    <w:uiPriority w:val="9"/>
    <w:semiHidden/>
    <w:unhideWhenUsed/>
    <w:qFormat/>
    <w:rsid w:val="00E85E6E"/>
    <w:pPr>
      <w:keepNext/>
      <w:keepLines/>
      <w:spacing w:after="0"/>
      <w:outlineLvl w:val="8"/>
    </w:pPr>
    <w:rPr>
      <w:rFonts w:eastAsiaTheme="majorEastAsia" w:cstheme="majorBidi"/>
      <w:color w:val="3182FF"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C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C06"/>
  </w:style>
  <w:style w:type="paragraph" w:styleId="Piedepgina">
    <w:name w:val="footer"/>
    <w:basedOn w:val="Normal"/>
    <w:link w:val="PiedepginaCar"/>
    <w:uiPriority w:val="99"/>
    <w:unhideWhenUsed/>
    <w:rsid w:val="00857C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C06"/>
  </w:style>
  <w:style w:type="character" w:styleId="Textodelmarcadordeposicin">
    <w:name w:val="Placeholder Text"/>
    <w:basedOn w:val="Fuentedeprrafopredeter"/>
    <w:uiPriority w:val="99"/>
    <w:semiHidden/>
    <w:rsid w:val="00857C06"/>
    <w:rPr>
      <w:color w:val="808080"/>
    </w:rPr>
  </w:style>
  <w:style w:type="paragraph" w:styleId="NormalWeb">
    <w:name w:val="Normal (Web)"/>
    <w:basedOn w:val="Normal"/>
    <w:uiPriority w:val="99"/>
    <w:semiHidden/>
    <w:unhideWhenUsed/>
    <w:rsid w:val="004C33D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rsid w:val="007746EC"/>
    <w:pPr>
      <w:spacing w:after="0" w:line="240" w:lineRule="auto"/>
      <w:ind w:left="720"/>
      <w:contextualSpacing/>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18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2042"/>
    <w:pPr>
      <w:spacing w:after="0" w:line="240" w:lineRule="auto"/>
    </w:pPr>
    <w:tblPr>
      <w:tblStyleRowBandSize w:val="1"/>
      <w:tblStyleColBandSize w:val="1"/>
      <w:tblBorders>
        <w:top w:val="single" w:sz="4" w:space="0" w:color="85B5FF" w:themeColor="text1" w:themeTint="80"/>
        <w:bottom w:val="single" w:sz="4" w:space="0" w:color="85B5FF" w:themeColor="text1" w:themeTint="80"/>
      </w:tblBorders>
    </w:tblPr>
    <w:tblStylePr w:type="firstRow">
      <w:rPr>
        <w:b/>
        <w:bCs/>
      </w:rPr>
      <w:tblPr/>
      <w:tcPr>
        <w:tcBorders>
          <w:bottom w:val="single" w:sz="4" w:space="0" w:color="85B5FF" w:themeColor="text1" w:themeTint="80"/>
        </w:tcBorders>
      </w:tcPr>
    </w:tblStylePr>
    <w:tblStylePr w:type="lastRow">
      <w:rPr>
        <w:b/>
        <w:bCs/>
      </w:rPr>
      <w:tblPr/>
      <w:tcPr>
        <w:tcBorders>
          <w:top w:val="single" w:sz="4" w:space="0" w:color="85B5FF" w:themeColor="text1" w:themeTint="80"/>
        </w:tcBorders>
      </w:tcPr>
    </w:tblStylePr>
    <w:tblStylePr w:type="firstCol">
      <w:rPr>
        <w:b/>
        <w:bCs/>
      </w:rPr>
    </w:tblStylePr>
    <w:tblStylePr w:type="lastCol">
      <w:rPr>
        <w:b/>
        <w:bCs/>
      </w:rPr>
    </w:tblStylePr>
    <w:tblStylePr w:type="band1Vert">
      <w:tblPr/>
      <w:tcPr>
        <w:tcBorders>
          <w:left w:val="single" w:sz="4" w:space="0" w:color="85B5FF" w:themeColor="text1" w:themeTint="80"/>
          <w:right w:val="single" w:sz="4" w:space="0" w:color="85B5FF" w:themeColor="text1" w:themeTint="80"/>
        </w:tcBorders>
      </w:tcPr>
    </w:tblStylePr>
    <w:tblStylePr w:type="band2Vert">
      <w:tblPr/>
      <w:tcPr>
        <w:tcBorders>
          <w:left w:val="single" w:sz="4" w:space="0" w:color="85B5FF" w:themeColor="text1" w:themeTint="80"/>
          <w:right w:val="single" w:sz="4" w:space="0" w:color="85B5FF" w:themeColor="text1" w:themeTint="80"/>
        </w:tcBorders>
      </w:tcPr>
    </w:tblStylePr>
    <w:tblStylePr w:type="band1Horz">
      <w:tblPr/>
      <w:tcPr>
        <w:tcBorders>
          <w:top w:val="single" w:sz="4" w:space="0" w:color="85B5FF" w:themeColor="text1" w:themeTint="80"/>
          <w:bottom w:val="single" w:sz="4" w:space="0" w:color="85B5FF" w:themeColor="text1" w:themeTint="80"/>
        </w:tcBorders>
      </w:tcPr>
    </w:tblStylePr>
  </w:style>
  <w:style w:type="table" w:styleId="Tablanormal1">
    <w:name w:val="Plain Table 1"/>
    <w:basedOn w:val="Tablanormal"/>
    <w:uiPriority w:val="41"/>
    <w:rsid w:val="00182042"/>
    <w:pPr>
      <w:spacing w:after="0" w:line="240" w:lineRule="auto"/>
    </w:pPr>
    <w:tblPr>
      <w:tblStyleRowBandSize w:val="1"/>
      <w:tblStyleColBandSize w:val="1"/>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tblStylePr w:type="firstRow">
      <w:rPr>
        <w:b/>
        <w:bCs/>
      </w:rPr>
    </w:tblStylePr>
    <w:tblStylePr w:type="lastRow">
      <w:rPr>
        <w:b/>
        <w:bCs/>
      </w:rPr>
      <w:tblPr/>
      <w:tcPr>
        <w:tcBorders>
          <w:top w:val="double" w:sz="4" w:space="0" w:color="474747" w:themeColor="background1" w:themeShade="BF"/>
        </w:tcBorders>
      </w:tcPr>
    </w:tblStylePr>
    <w:tblStylePr w:type="firstCol">
      <w:rPr>
        <w:b/>
        <w:bCs/>
      </w:rPr>
    </w:tblStylePr>
    <w:tblStylePr w:type="lastCol">
      <w:rPr>
        <w:b/>
        <w:bCs/>
      </w:rPr>
    </w:tblStylePr>
    <w:tblStylePr w:type="band1Vert">
      <w:tblPr/>
      <w:tcPr>
        <w:shd w:val="clear" w:color="auto" w:fill="5B5B5B" w:themeFill="background1" w:themeFillShade="F2"/>
      </w:tcPr>
    </w:tblStylePr>
    <w:tblStylePr w:type="band1Horz">
      <w:tblPr/>
      <w:tcPr>
        <w:shd w:val="clear" w:color="auto" w:fill="5B5B5B" w:themeFill="background1" w:themeFillShade="F2"/>
      </w:tcPr>
    </w:tblStylePr>
  </w:style>
  <w:style w:type="table" w:styleId="Tablaconcuadrculaclara">
    <w:name w:val="Grid Table Light"/>
    <w:basedOn w:val="Tablanormal"/>
    <w:uiPriority w:val="40"/>
    <w:rsid w:val="00182042"/>
    <w:pPr>
      <w:spacing w:after="0" w:line="240" w:lineRule="auto"/>
    </w:pPr>
    <w:tblPr>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style>
  <w:style w:type="paragraph" w:styleId="Textodeglobo">
    <w:name w:val="Balloon Text"/>
    <w:basedOn w:val="Normal"/>
    <w:link w:val="TextodegloboCar"/>
    <w:uiPriority w:val="99"/>
    <w:semiHidden/>
    <w:unhideWhenUsed/>
    <w:rsid w:val="000671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192"/>
    <w:rPr>
      <w:rFonts w:ascii="Segoe UI" w:hAnsi="Segoe UI" w:cs="Segoe UI"/>
      <w:sz w:val="18"/>
      <w:szCs w:val="18"/>
    </w:rPr>
  </w:style>
  <w:style w:type="paragraph" w:customStyle="1" w:styleId="TtuloportadaTelefnica">
    <w:name w:val="Título portada Telefónica"/>
    <w:basedOn w:val="Normal"/>
    <w:link w:val="TtuloportadaTelefnicaCar"/>
    <w:uiPriority w:val="9"/>
    <w:qFormat/>
    <w:rsid w:val="005654AA"/>
    <w:pPr>
      <w:jc w:val="center"/>
    </w:pPr>
    <w:rPr>
      <w:rFonts w:ascii="Arial" w:hAnsi="Arial" w:cs="Arial"/>
      <w:color w:val="0C6DFF" w:themeColor="text1"/>
      <w:sz w:val="56"/>
      <w:szCs w:val="60"/>
    </w:rPr>
  </w:style>
  <w:style w:type="character" w:customStyle="1" w:styleId="TtuloportadaTelefnicaCar">
    <w:name w:val="Título portada Telefónica Car"/>
    <w:basedOn w:val="Fuentedeprrafopredeter"/>
    <w:link w:val="TtuloportadaTelefnica"/>
    <w:uiPriority w:val="9"/>
    <w:rsid w:val="00C556BC"/>
    <w:rPr>
      <w:rFonts w:ascii="Arial" w:hAnsi="Arial" w:cs="Arial"/>
      <w:color w:val="0C6DFF" w:themeColor="text1"/>
      <w:sz w:val="56"/>
      <w:szCs w:val="60"/>
    </w:rPr>
  </w:style>
  <w:style w:type="paragraph" w:customStyle="1" w:styleId="SubtituloportadaTelefnica">
    <w:name w:val="Subtitulo portada Telefónica"/>
    <w:basedOn w:val="Normal"/>
    <w:link w:val="SubtituloportadaTelefnicaCar"/>
    <w:uiPriority w:val="5"/>
    <w:qFormat/>
    <w:rsid w:val="00632322"/>
    <w:pPr>
      <w:spacing w:line="240" w:lineRule="auto"/>
      <w:jc w:val="center"/>
    </w:pPr>
    <w:rPr>
      <w:rFonts w:ascii="Arial" w:hAnsi="Arial" w:cs="Arial"/>
      <w:color w:val="606060" w:themeColor="background1"/>
      <w:sz w:val="28"/>
      <w:szCs w:val="24"/>
    </w:rPr>
  </w:style>
  <w:style w:type="paragraph" w:customStyle="1" w:styleId="NombreyfechaportadaTelefnica">
    <w:name w:val="Nombre y fecha portada Telefónica"/>
    <w:basedOn w:val="Normal"/>
    <w:link w:val="NombreyfechaportadaTelefnicaCar"/>
    <w:uiPriority w:val="5"/>
    <w:qFormat/>
    <w:rsid w:val="00922041"/>
    <w:pPr>
      <w:spacing w:line="192" w:lineRule="auto"/>
      <w:jc w:val="center"/>
    </w:pPr>
    <w:rPr>
      <w:rFonts w:ascii="Arial" w:hAnsi="Arial" w:cs="Arial"/>
      <w:color w:val="606060" w:themeColor="background1"/>
      <w:szCs w:val="18"/>
      <w:lang w:val="en-US"/>
    </w:rPr>
  </w:style>
  <w:style w:type="character" w:customStyle="1" w:styleId="SubtituloportadaTelefnicaCar">
    <w:name w:val="Subtitulo portada Telefónica Car"/>
    <w:basedOn w:val="Fuentedeprrafopredeter"/>
    <w:link w:val="SubtituloportadaTelefnica"/>
    <w:uiPriority w:val="5"/>
    <w:rsid w:val="00C556BC"/>
    <w:rPr>
      <w:rFonts w:ascii="Arial" w:hAnsi="Arial" w:cs="Arial"/>
      <w:color w:val="606060" w:themeColor="background1"/>
      <w:sz w:val="28"/>
      <w:szCs w:val="24"/>
    </w:rPr>
  </w:style>
  <w:style w:type="paragraph" w:customStyle="1" w:styleId="TtulobarralateralTelefnica">
    <w:name w:val="Título barra lateral Telefónica"/>
    <w:basedOn w:val="Normal"/>
    <w:link w:val="TtulobarralateralTelefnicaCar"/>
    <w:uiPriority w:val="9"/>
    <w:qFormat/>
    <w:rsid w:val="00D34D1F"/>
    <w:pPr>
      <w:spacing w:line="240" w:lineRule="auto"/>
    </w:pPr>
    <w:rPr>
      <w:rFonts w:ascii="Arial" w:hAnsi="Arial" w:cs="Arial"/>
      <w:color w:val="0C6DFF" w:themeColor="text1"/>
      <w:sz w:val="28"/>
      <w:szCs w:val="40"/>
    </w:rPr>
  </w:style>
  <w:style w:type="character" w:customStyle="1" w:styleId="NombreyfechaportadaTelefnicaCar">
    <w:name w:val="Nombre y fecha portada Telefónica Car"/>
    <w:basedOn w:val="Fuentedeprrafopredeter"/>
    <w:link w:val="NombreyfechaportadaTelefnica"/>
    <w:uiPriority w:val="5"/>
    <w:rsid w:val="00922041"/>
    <w:rPr>
      <w:rFonts w:ascii="Arial" w:hAnsi="Arial" w:cs="Arial"/>
      <w:color w:val="606060" w:themeColor="background1"/>
      <w:szCs w:val="18"/>
      <w:lang w:val="en-US"/>
    </w:rPr>
  </w:style>
  <w:style w:type="character" w:customStyle="1" w:styleId="TtulobarralateralTelefnicaCar">
    <w:name w:val="Título barra lateral Telefónica Car"/>
    <w:basedOn w:val="Fuentedeprrafopredeter"/>
    <w:link w:val="TtulobarralateralTelefnica"/>
    <w:uiPriority w:val="9"/>
    <w:rsid w:val="00C556BC"/>
    <w:rPr>
      <w:rFonts w:ascii="Arial" w:hAnsi="Arial" w:cs="Arial"/>
      <w:color w:val="0C6DFF" w:themeColor="text1"/>
      <w:sz w:val="28"/>
      <w:szCs w:val="40"/>
    </w:rPr>
  </w:style>
  <w:style w:type="paragraph" w:customStyle="1" w:styleId="TtulopginaTelefnica">
    <w:name w:val="Título página Telefónica"/>
    <w:basedOn w:val="Ttulo1"/>
    <w:next w:val="Normal"/>
    <w:link w:val="TtulopginaTelefnicaCar"/>
    <w:uiPriority w:val="9"/>
    <w:qFormat/>
    <w:rsid w:val="00D73D12"/>
    <w:pPr>
      <w:numPr>
        <w:numId w:val="5"/>
      </w:numPr>
      <w:spacing w:line="240" w:lineRule="auto"/>
    </w:pPr>
    <w:rPr>
      <w:rFonts w:ascii="Arial" w:hAnsi="Arial" w:cs="Arial"/>
      <w:color w:val="0C6DFF" w:themeColor="text1"/>
      <w:szCs w:val="56"/>
    </w:rPr>
  </w:style>
  <w:style w:type="paragraph" w:customStyle="1" w:styleId="SubttulopginaTelefnica">
    <w:name w:val="Subtítulo página Telefónica"/>
    <w:basedOn w:val="Ttulo2"/>
    <w:next w:val="Normal"/>
    <w:link w:val="SubttulopginaTelefnicaCar"/>
    <w:uiPriority w:val="5"/>
    <w:qFormat/>
    <w:rsid w:val="00542851"/>
    <w:pPr>
      <w:numPr>
        <w:numId w:val="12"/>
      </w:numPr>
      <w:spacing w:before="240" w:line="240" w:lineRule="auto"/>
      <w:ind w:left="856" w:hanging="431"/>
    </w:pPr>
    <w:rPr>
      <w:rFonts w:ascii="Arial" w:hAnsi="Arial" w:cs="Arial"/>
      <w:b w:val="0"/>
      <w:bCs/>
    </w:rPr>
  </w:style>
  <w:style w:type="character" w:customStyle="1" w:styleId="TtulopginaTelefnicaCar">
    <w:name w:val="Título página Telefónica Car"/>
    <w:basedOn w:val="Fuentedeprrafopredeter"/>
    <w:link w:val="TtulopginaTelefnica"/>
    <w:uiPriority w:val="9"/>
    <w:rsid w:val="00C556BC"/>
    <w:rPr>
      <w:rFonts w:ascii="Arial" w:eastAsiaTheme="majorEastAsia" w:hAnsi="Arial" w:cs="Arial"/>
      <w:color w:val="0C6DFF" w:themeColor="text1"/>
      <w:sz w:val="36"/>
      <w:szCs w:val="56"/>
    </w:rPr>
  </w:style>
  <w:style w:type="paragraph" w:customStyle="1" w:styleId="PrrafoTelefnica">
    <w:name w:val="Párrafo Telefónica"/>
    <w:basedOn w:val="Normal"/>
    <w:next w:val="Normal"/>
    <w:link w:val="PrrafoTelefnicaCar"/>
    <w:uiPriority w:val="5"/>
    <w:qFormat/>
    <w:rsid w:val="0048408C"/>
    <w:pPr>
      <w:spacing w:before="120" w:after="240" w:line="288" w:lineRule="auto"/>
    </w:pPr>
    <w:rPr>
      <w:rFonts w:ascii="Arial" w:hAnsi="Arial" w:cs="Arial"/>
      <w:color w:val="606060" w:themeColor="background1"/>
      <w:szCs w:val="24"/>
      <w:lang w:val="es-ES_tradnl"/>
    </w:rPr>
  </w:style>
  <w:style w:type="character" w:customStyle="1" w:styleId="SubttulopginaTelefnicaCar">
    <w:name w:val="Subtítulo página Telefónica Car"/>
    <w:basedOn w:val="Fuentedeprrafopredeter"/>
    <w:link w:val="SubttulopginaTelefnica"/>
    <w:uiPriority w:val="5"/>
    <w:rsid w:val="00C556BC"/>
    <w:rPr>
      <w:rFonts w:ascii="Arial" w:eastAsiaTheme="majorEastAsia" w:hAnsi="Arial" w:cs="Arial"/>
      <w:b/>
      <w:bCs/>
      <w:color w:val="606060"/>
      <w:sz w:val="24"/>
      <w:szCs w:val="26"/>
    </w:rPr>
  </w:style>
  <w:style w:type="paragraph" w:customStyle="1" w:styleId="TelefnicaTamao9">
    <w:name w:val="Telefónica Tamaño 9"/>
    <w:basedOn w:val="Encabezado"/>
    <w:link w:val="TelefnicaTamao9Car"/>
    <w:uiPriority w:val="9"/>
    <w:rsid w:val="00952BF2"/>
    <w:pPr>
      <w:jc w:val="center"/>
    </w:pPr>
    <w:rPr>
      <w:rFonts w:ascii="Arial" w:eastAsia="Arial" w:hAnsi="Arial" w:cs="Arial"/>
      <w:color w:val="0C6DFF" w:themeColor="text1"/>
      <w:kern w:val="24"/>
      <w:sz w:val="18"/>
      <w:lang w:val="es-ES_tradnl"/>
    </w:rPr>
  </w:style>
  <w:style w:type="character" w:customStyle="1" w:styleId="PrrafoTelefnicaCar">
    <w:name w:val="Párrafo Telefónica Car"/>
    <w:basedOn w:val="Fuentedeprrafopredeter"/>
    <w:link w:val="PrrafoTelefnica"/>
    <w:uiPriority w:val="5"/>
    <w:rsid w:val="0048408C"/>
    <w:rPr>
      <w:rFonts w:ascii="Arial" w:hAnsi="Arial" w:cs="Arial"/>
      <w:color w:val="606060" w:themeColor="background1"/>
      <w:szCs w:val="24"/>
      <w:lang w:val="es-ES_tradnl"/>
    </w:rPr>
  </w:style>
  <w:style w:type="paragraph" w:customStyle="1" w:styleId="Telefnicatamao10">
    <w:name w:val="Telefónica tamaño 10"/>
    <w:basedOn w:val="Normal"/>
    <w:link w:val="Telefnicatamao10Car"/>
    <w:uiPriority w:val="9"/>
    <w:rsid w:val="005664C8"/>
    <w:pPr>
      <w:spacing w:line="240" w:lineRule="auto"/>
    </w:pPr>
    <w:rPr>
      <w:rFonts w:ascii="Arial" w:hAnsi="Arial" w:cs="Arial"/>
      <w:color w:val="606060" w:themeColor="background1"/>
      <w:szCs w:val="24"/>
    </w:rPr>
  </w:style>
  <w:style w:type="character" w:customStyle="1" w:styleId="TelefnicaTamao9Car">
    <w:name w:val="Telefónica Tamaño 9 Car"/>
    <w:basedOn w:val="EncabezadoCar"/>
    <w:link w:val="TelefnicaTamao9"/>
    <w:uiPriority w:val="9"/>
    <w:rsid w:val="00C556BC"/>
    <w:rPr>
      <w:rFonts w:ascii="Arial" w:eastAsia="Arial" w:hAnsi="Arial" w:cs="Arial"/>
      <w:color w:val="0C6DFF" w:themeColor="text1"/>
      <w:kern w:val="24"/>
      <w:sz w:val="18"/>
      <w:lang w:val="es-ES_tradnl"/>
    </w:rPr>
  </w:style>
  <w:style w:type="character" w:customStyle="1" w:styleId="Telefnicatamao10Car">
    <w:name w:val="Telefónica tamaño 10 Car"/>
    <w:basedOn w:val="Fuentedeprrafopredeter"/>
    <w:link w:val="Telefnicatamao10"/>
    <w:uiPriority w:val="9"/>
    <w:rsid w:val="00C556BC"/>
    <w:rPr>
      <w:rFonts w:ascii="Arial" w:hAnsi="Arial" w:cs="Arial"/>
      <w:color w:val="606060" w:themeColor="background1"/>
      <w:szCs w:val="24"/>
    </w:rPr>
  </w:style>
  <w:style w:type="paragraph" w:customStyle="1" w:styleId="DestacadoTelefnica">
    <w:name w:val="Destacado Telefónica"/>
    <w:basedOn w:val="PrrafoTelefnica"/>
    <w:link w:val="DestacadoTelefnicaCar"/>
    <w:uiPriority w:val="6"/>
    <w:qFormat/>
    <w:rsid w:val="006E642E"/>
    <w:rPr>
      <w:color w:val="606060"/>
      <w:sz w:val="44"/>
      <w:szCs w:val="48"/>
    </w:rPr>
  </w:style>
  <w:style w:type="paragraph" w:customStyle="1" w:styleId="TabladestacadoscolumnasTelefnica">
    <w:name w:val="Tabla destacados columnas Telefónica"/>
    <w:basedOn w:val="Normal"/>
    <w:link w:val="TabladestacadoscolumnasTelefnicaCar"/>
    <w:uiPriority w:val="5"/>
    <w:qFormat/>
    <w:rsid w:val="005664C8"/>
    <w:pPr>
      <w:framePr w:hSpace="141" w:wrap="around" w:vAnchor="page" w:hAnchor="margin" w:xAlign="center" w:y="5180"/>
      <w:spacing w:after="0" w:line="240" w:lineRule="auto"/>
      <w:jc w:val="center"/>
    </w:pPr>
    <w:rPr>
      <w:rFonts w:ascii="Arial" w:hAnsi="Arial" w:cs="Arial"/>
      <w:b/>
      <w:bCs/>
      <w:color w:val="0C6DFF" w:themeColor="text1"/>
      <w:szCs w:val="24"/>
    </w:rPr>
  </w:style>
  <w:style w:type="character" w:customStyle="1" w:styleId="DestacadoTelefnicaCar">
    <w:name w:val="Destacado Telefónica Car"/>
    <w:basedOn w:val="PrrafoTelefnicaCar"/>
    <w:link w:val="DestacadoTelefnica"/>
    <w:uiPriority w:val="6"/>
    <w:rsid w:val="00C556BC"/>
    <w:rPr>
      <w:rFonts w:ascii="Arial" w:hAnsi="Arial" w:cs="Arial"/>
      <w:color w:val="606060"/>
      <w:sz w:val="44"/>
      <w:szCs w:val="48"/>
      <w:lang w:val="es-ES_tradnl"/>
    </w:rPr>
  </w:style>
  <w:style w:type="paragraph" w:customStyle="1" w:styleId="TabladestacadofilasTelefnica">
    <w:name w:val="Tabla destacado filas Telefónica"/>
    <w:basedOn w:val="Normal"/>
    <w:link w:val="TabladestacadofilasTelefnicaCar"/>
    <w:uiPriority w:val="5"/>
    <w:qFormat/>
    <w:rsid w:val="005664C8"/>
    <w:pPr>
      <w:framePr w:hSpace="141" w:wrap="around" w:vAnchor="page" w:hAnchor="margin" w:xAlign="center" w:y="5180"/>
      <w:spacing w:after="0" w:line="240" w:lineRule="auto"/>
    </w:pPr>
    <w:rPr>
      <w:rFonts w:ascii="Arial" w:hAnsi="Arial" w:cs="Arial"/>
      <w:b/>
      <w:bCs/>
      <w:color w:val="0C6DFF" w:themeColor="text1"/>
      <w:szCs w:val="24"/>
    </w:rPr>
  </w:style>
  <w:style w:type="character" w:customStyle="1" w:styleId="TabladestacadoscolumnasTelefnicaCar">
    <w:name w:val="Tabla destacados columnas Telefónica Car"/>
    <w:basedOn w:val="Fuentedeprrafopredeter"/>
    <w:link w:val="TabladestacadoscolumnasTelefnica"/>
    <w:uiPriority w:val="5"/>
    <w:rsid w:val="00C556BC"/>
    <w:rPr>
      <w:rFonts w:ascii="Arial" w:hAnsi="Arial" w:cs="Arial"/>
      <w:b/>
      <w:bCs/>
      <w:color w:val="0C6DFF" w:themeColor="text1"/>
      <w:szCs w:val="24"/>
    </w:rPr>
  </w:style>
  <w:style w:type="paragraph" w:customStyle="1" w:styleId="TablacontenidoTelefnica">
    <w:name w:val="Tabla contenido Telefónica"/>
    <w:basedOn w:val="NombreyfechaportadaTelefnica"/>
    <w:link w:val="TablacontenidoTelefnicaCar"/>
    <w:uiPriority w:val="5"/>
    <w:qFormat/>
    <w:rsid w:val="002B3FDF"/>
    <w:pPr>
      <w:framePr w:hSpace="141" w:wrap="around" w:vAnchor="page" w:hAnchor="margin" w:xAlign="center" w:y="5180"/>
      <w:spacing w:after="0"/>
    </w:pPr>
    <w:rPr>
      <w:color w:val="606060"/>
    </w:rPr>
  </w:style>
  <w:style w:type="character" w:customStyle="1" w:styleId="TabladestacadofilasTelefnicaCar">
    <w:name w:val="Tabla destacado filas Telefónica Car"/>
    <w:basedOn w:val="Fuentedeprrafopredeter"/>
    <w:link w:val="TabladestacadofilasTelefnica"/>
    <w:uiPriority w:val="5"/>
    <w:rsid w:val="00C556BC"/>
    <w:rPr>
      <w:rFonts w:ascii="Arial" w:hAnsi="Arial" w:cs="Arial"/>
      <w:b/>
      <w:bCs/>
      <w:color w:val="0C6DFF" w:themeColor="text1"/>
      <w:szCs w:val="24"/>
    </w:rPr>
  </w:style>
  <w:style w:type="character" w:customStyle="1" w:styleId="TablacontenidoTelefnicaCar">
    <w:name w:val="Tabla contenido Telefónica Car"/>
    <w:basedOn w:val="NombreyfechaportadaTelefnicaCar"/>
    <w:link w:val="TablacontenidoTelefnica"/>
    <w:uiPriority w:val="5"/>
    <w:rsid w:val="00C556BC"/>
    <w:rPr>
      <w:rFonts w:ascii="Arial" w:hAnsi="Arial" w:cs="Arial"/>
      <w:color w:val="606060"/>
      <w:szCs w:val="18"/>
      <w:lang w:val="en-US"/>
    </w:rPr>
  </w:style>
  <w:style w:type="numbering" w:customStyle="1" w:styleId="Estilo1">
    <w:name w:val="Estilo1"/>
    <w:uiPriority w:val="99"/>
    <w:rsid w:val="00980D9D"/>
    <w:pPr>
      <w:numPr>
        <w:numId w:val="8"/>
      </w:numPr>
    </w:pPr>
  </w:style>
  <w:style w:type="numbering" w:customStyle="1" w:styleId="Estilo2">
    <w:name w:val="Estilo2"/>
    <w:uiPriority w:val="99"/>
    <w:rsid w:val="00980D9D"/>
    <w:pPr>
      <w:numPr>
        <w:numId w:val="11"/>
      </w:numPr>
    </w:pPr>
  </w:style>
  <w:style w:type="numbering" w:customStyle="1" w:styleId="Estilo3">
    <w:name w:val="Estilo3"/>
    <w:uiPriority w:val="99"/>
    <w:rsid w:val="004426D6"/>
    <w:pPr>
      <w:numPr>
        <w:numId w:val="13"/>
      </w:numPr>
    </w:pPr>
  </w:style>
  <w:style w:type="character" w:customStyle="1" w:styleId="Ttulo1Car">
    <w:name w:val="Título 1 Car"/>
    <w:basedOn w:val="Fuentedeprrafopredeter"/>
    <w:link w:val="Ttulo1"/>
    <w:rsid w:val="008C6592"/>
    <w:rPr>
      <w:rFonts w:asciiTheme="majorHAnsi" w:eastAsiaTheme="majorEastAsia" w:hAnsiTheme="majorHAnsi" w:cstheme="majorBidi"/>
      <w:color w:val="0C6DFF"/>
      <w:sz w:val="36"/>
      <w:szCs w:val="32"/>
    </w:rPr>
  </w:style>
  <w:style w:type="paragraph" w:styleId="TDC1">
    <w:name w:val="toc 1"/>
    <w:basedOn w:val="Normal"/>
    <w:next w:val="Normal"/>
    <w:autoRedefine/>
    <w:uiPriority w:val="39"/>
    <w:unhideWhenUsed/>
    <w:qFormat/>
    <w:rsid w:val="00FB4514"/>
    <w:pPr>
      <w:tabs>
        <w:tab w:val="left" w:pos="454"/>
        <w:tab w:val="right" w:leader="dot" w:pos="8494"/>
      </w:tabs>
      <w:spacing w:before="240" w:after="120"/>
    </w:pPr>
    <w:rPr>
      <w:rFonts w:cstheme="minorHAnsi"/>
      <w:b/>
      <w:bCs/>
      <w:noProof/>
      <w:color w:val="E81A3B"/>
      <w:szCs w:val="20"/>
      <w14:scene3d>
        <w14:camera w14:prst="orthographicFront"/>
        <w14:lightRig w14:rig="threePt" w14:dir="t">
          <w14:rot w14:lat="0" w14:lon="0" w14:rev="0"/>
        </w14:lightRig>
      </w14:scene3d>
    </w:rPr>
  </w:style>
  <w:style w:type="paragraph" w:styleId="TtuloTDC">
    <w:name w:val="TOC Heading"/>
    <w:aliases w:val="Título índice"/>
    <w:basedOn w:val="Ttulo1"/>
    <w:next w:val="Normal"/>
    <w:uiPriority w:val="39"/>
    <w:unhideWhenUsed/>
    <w:qFormat/>
    <w:rsid w:val="005664C8"/>
    <w:pPr>
      <w:outlineLvl w:val="9"/>
    </w:pPr>
    <w:rPr>
      <w:color w:val="0C6DFF" w:themeColor="text1"/>
      <w:lang w:eastAsia="es-ES"/>
    </w:rPr>
  </w:style>
  <w:style w:type="paragraph" w:styleId="ndice1">
    <w:name w:val="index 1"/>
    <w:basedOn w:val="Normal"/>
    <w:next w:val="Normal"/>
    <w:autoRedefine/>
    <w:uiPriority w:val="99"/>
    <w:semiHidden/>
    <w:unhideWhenUsed/>
    <w:rsid w:val="00082C98"/>
    <w:pPr>
      <w:spacing w:after="0" w:line="240" w:lineRule="auto"/>
      <w:ind w:left="220" w:hanging="220"/>
    </w:pPr>
  </w:style>
  <w:style w:type="paragraph" w:styleId="TDC2">
    <w:name w:val="toc 2"/>
    <w:basedOn w:val="Normal"/>
    <w:next w:val="Normal"/>
    <w:autoRedefine/>
    <w:uiPriority w:val="39"/>
    <w:unhideWhenUsed/>
    <w:qFormat/>
    <w:rsid w:val="00542851"/>
    <w:pPr>
      <w:spacing w:before="120" w:after="0"/>
      <w:ind w:left="454"/>
    </w:pPr>
    <w:rPr>
      <w:rFonts w:cstheme="minorHAnsi"/>
      <w:iCs/>
      <w:color w:val="606060" w:themeColor="background1"/>
      <w:szCs w:val="20"/>
    </w:rPr>
  </w:style>
  <w:style w:type="character" w:styleId="Hipervnculo">
    <w:name w:val="Hyperlink"/>
    <w:basedOn w:val="Fuentedeprrafopredeter"/>
    <w:uiPriority w:val="99"/>
    <w:unhideWhenUsed/>
    <w:rsid w:val="00F048C4"/>
    <w:rPr>
      <w:color w:val="59C2C9" w:themeColor="hyperlink"/>
      <w:u w:val="single"/>
    </w:rPr>
  </w:style>
  <w:style w:type="paragraph" w:styleId="TDC3">
    <w:name w:val="toc 3"/>
    <w:basedOn w:val="Normal"/>
    <w:next w:val="Normal"/>
    <w:autoRedefine/>
    <w:uiPriority w:val="39"/>
    <w:unhideWhenUsed/>
    <w:rsid w:val="00E27720"/>
    <w:pPr>
      <w:suppressAutoHyphens/>
      <w:spacing w:after="0"/>
      <w:ind w:left="907" w:firstLine="1134"/>
    </w:pPr>
    <w:rPr>
      <w:rFonts w:cstheme="minorHAnsi"/>
      <w:color w:val="606060" w:themeColor="background1"/>
      <w:szCs w:val="20"/>
    </w:rPr>
  </w:style>
  <w:style w:type="character" w:customStyle="1" w:styleId="Ttulo2Car">
    <w:name w:val="Título 2 Car"/>
    <w:basedOn w:val="Fuentedeprrafopredeter"/>
    <w:link w:val="Ttulo2"/>
    <w:uiPriority w:val="1"/>
    <w:rsid w:val="008C6592"/>
    <w:rPr>
      <w:rFonts w:asciiTheme="majorHAnsi" w:eastAsiaTheme="majorEastAsia" w:hAnsiTheme="majorHAnsi" w:cstheme="majorBidi"/>
      <w:b/>
      <w:color w:val="606060"/>
      <w:sz w:val="24"/>
      <w:szCs w:val="26"/>
    </w:rPr>
  </w:style>
  <w:style w:type="paragraph" w:styleId="TDC4">
    <w:name w:val="toc 4"/>
    <w:basedOn w:val="Normal"/>
    <w:next w:val="Normal"/>
    <w:autoRedefine/>
    <w:uiPriority w:val="39"/>
    <w:unhideWhenUsed/>
    <w:rsid w:val="00034D7E"/>
    <w:pPr>
      <w:spacing w:after="0"/>
      <w:ind w:left="1111"/>
    </w:pPr>
    <w:rPr>
      <w:rFonts w:cstheme="minorHAnsi"/>
      <w:color w:val="606060" w:themeColor="background1"/>
      <w:szCs w:val="20"/>
    </w:rPr>
  </w:style>
  <w:style w:type="paragraph" w:styleId="TDC5">
    <w:name w:val="toc 5"/>
    <w:basedOn w:val="Normal"/>
    <w:next w:val="Normal"/>
    <w:autoRedefine/>
    <w:uiPriority w:val="39"/>
    <w:unhideWhenUsed/>
    <w:rsid w:val="007661A7"/>
    <w:pPr>
      <w:spacing w:after="0"/>
      <w:ind w:left="880"/>
    </w:pPr>
    <w:rPr>
      <w:rFonts w:cstheme="minorHAnsi"/>
      <w:sz w:val="20"/>
      <w:szCs w:val="20"/>
    </w:rPr>
  </w:style>
  <w:style w:type="paragraph" w:styleId="TDC6">
    <w:name w:val="toc 6"/>
    <w:basedOn w:val="Normal"/>
    <w:next w:val="Normal"/>
    <w:autoRedefine/>
    <w:uiPriority w:val="39"/>
    <w:unhideWhenUsed/>
    <w:rsid w:val="007661A7"/>
    <w:pPr>
      <w:spacing w:after="0"/>
      <w:ind w:left="1100"/>
    </w:pPr>
    <w:rPr>
      <w:rFonts w:cstheme="minorHAnsi"/>
      <w:sz w:val="20"/>
      <w:szCs w:val="20"/>
    </w:rPr>
  </w:style>
  <w:style w:type="paragraph" w:styleId="TDC7">
    <w:name w:val="toc 7"/>
    <w:basedOn w:val="Normal"/>
    <w:next w:val="Normal"/>
    <w:autoRedefine/>
    <w:uiPriority w:val="39"/>
    <w:unhideWhenUsed/>
    <w:rsid w:val="007661A7"/>
    <w:pPr>
      <w:spacing w:after="0"/>
      <w:ind w:left="1320"/>
    </w:pPr>
    <w:rPr>
      <w:rFonts w:cstheme="minorHAnsi"/>
      <w:sz w:val="20"/>
      <w:szCs w:val="20"/>
    </w:rPr>
  </w:style>
  <w:style w:type="paragraph" w:styleId="TDC8">
    <w:name w:val="toc 8"/>
    <w:basedOn w:val="Normal"/>
    <w:next w:val="Normal"/>
    <w:autoRedefine/>
    <w:uiPriority w:val="39"/>
    <w:unhideWhenUsed/>
    <w:rsid w:val="007661A7"/>
    <w:pPr>
      <w:spacing w:after="0"/>
      <w:ind w:left="1540"/>
    </w:pPr>
    <w:rPr>
      <w:rFonts w:cstheme="minorHAnsi"/>
      <w:sz w:val="20"/>
      <w:szCs w:val="20"/>
    </w:rPr>
  </w:style>
  <w:style w:type="paragraph" w:styleId="TDC9">
    <w:name w:val="toc 9"/>
    <w:basedOn w:val="Normal"/>
    <w:next w:val="Normal"/>
    <w:autoRedefine/>
    <w:uiPriority w:val="39"/>
    <w:unhideWhenUsed/>
    <w:rsid w:val="007661A7"/>
    <w:pPr>
      <w:spacing w:after="0"/>
      <w:ind w:left="1760"/>
    </w:pPr>
    <w:rPr>
      <w:rFonts w:cstheme="minorHAnsi"/>
      <w:sz w:val="20"/>
      <w:szCs w:val="20"/>
    </w:rPr>
  </w:style>
  <w:style w:type="paragraph" w:customStyle="1" w:styleId="Cabecera">
    <w:name w:val="Cabecera"/>
    <w:basedOn w:val="NombreyfechaportadaTelefnica"/>
    <w:link w:val="CabeceraCar"/>
    <w:autoRedefine/>
    <w:uiPriority w:val="5"/>
    <w:qFormat/>
    <w:rsid w:val="0038087E"/>
    <w:pPr>
      <w:spacing w:before="120"/>
      <w:jc w:val="left"/>
    </w:pPr>
    <w:rPr>
      <w:color w:val="9F9F9F" w:themeColor="background1" w:themeTint="99"/>
      <w:sz w:val="18"/>
    </w:rPr>
  </w:style>
  <w:style w:type="character" w:customStyle="1" w:styleId="CabeceraCar">
    <w:name w:val="Cabecera Car"/>
    <w:basedOn w:val="NombreyfechaportadaTelefnicaCar"/>
    <w:link w:val="Cabecera"/>
    <w:uiPriority w:val="5"/>
    <w:rsid w:val="00C556BC"/>
    <w:rPr>
      <w:rFonts w:ascii="Arial" w:hAnsi="Arial" w:cs="Arial"/>
      <w:color w:val="9F9F9F" w:themeColor="background1" w:themeTint="99"/>
      <w:sz w:val="18"/>
      <w:szCs w:val="18"/>
      <w:lang w:val="en-US"/>
    </w:rPr>
  </w:style>
  <w:style w:type="paragraph" w:customStyle="1" w:styleId="SalidadeConsola">
    <w:name w:val="Salida de Consola"/>
    <w:basedOn w:val="Normal"/>
    <w:next w:val="PrrafoTelefnica"/>
    <w:link w:val="SalidadeConsolaCar"/>
    <w:autoRedefine/>
    <w:uiPriority w:val="3"/>
    <w:qFormat/>
    <w:rsid w:val="00775BAD"/>
    <w:pPr>
      <w:spacing w:after="0" w:line="240" w:lineRule="auto"/>
    </w:pPr>
    <w:rPr>
      <w:rFonts w:ascii="Consolas" w:hAnsi="Consolas" w:cs="Arial"/>
      <w:color w:val="9D83A3" w:themeColor="accent3"/>
      <w:spacing w:val="-20"/>
      <w:szCs w:val="24"/>
    </w:rPr>
  </w:style>
  <w:style w:type="paragraph" w:customStyle="1" w:styleId="Resaltadomonoespaciado">
    <w:name w:val="Resaltado monoespaciado"/>
    <w:basedOn w:val="SalidadeConsola"/>
    <w:link w:val="ResaltadomonoespaciadoCar"/>
    <w:autoRedefine/>
    <w:uiPriority w:val="4"/>
    <w:qFormat/>
    <w:rsid w:val="00941530"/>
    <w:rPr>
      <w:color w:val="007635"/>
    </w:rPr>
  </w:style>
  <w:style w:type="character" w:customStyle="1" w:styleId="SalidadeConsolaCar">
    <w:name w:val="Salida de Consola Car"/>
    <w:basedOn w:val="PrrafoTelefnicaCar"/>
    <w:link w:val="SalidadeConsola"/>
    <w:uiPriority w:val="3"/>
    <w:rsid w:val="00775BAD"/>
    <w:rPr>
      <w:rFonts w:ascii="Consolas" w:hAnsi="Consolas" w:cs="Arial"/>
      <w:color w:val="9D83A3" w:themeColor="accent3"/>
      <w:spacing w:val="-20"/>
      <w:szCs w:val="24"/>
      <w:lang w:val="es-ES_tradnl"/>
    </w:rPr>
  </w:style>
  <w:style w:type="paragraph" w:customStyle="1" w:styleId="IndicePiepgina">
    <w:name w:val="Indice Pie página"/>
    <w:basedOn w:val="Piedepgina"/>
    <w:link w:val="IndicePiepginaCar"/>
    <w:autoRedefine/>
    <w:uiPriority w:val="5"/>
    <w:qFormat/>
    <w:rsid w:val="00283CEB"/>
    <w:pPr>
      <w:jc w:val="right"/>
    </w:pPr>
    <w:rPr>
      <w:color w:val="9F9F9F" w:themeColor="background1" w:themeTint="99"/>
      <w:sz w:val="20"/>
    </w:rPr>
  </w:style>
  <w:style w:type="character" w:customStyle="1" w:styleId="ResaltadomonoespaciadoCar">
    <w:name w:val="Resaltado monoespaciado Car"/>
    <w:basedOn w:val="SalidadeConsolaCar"/>
    <w:link w:val="Resaltadomonoespaciado"/>
    <w:uiPriority w:val="4"/>
    <w:rsid w:val="00941530"/>
    <w:rPr>
      <w:rFonts w:ascii="Consolas" w:hAnsi="Consolas" w:cs="Arial"/>
      <w:color w:val="007635"/>
      <w:spacing w:val="-20"/>
      <w:szCs w:val="24"/>
      <w:lang w:val="es-ES_tradnl"/>
    </w:rPr>
  </w:style>
  <w:style w:type="paragraph" w:customStyle="1" w:styleId="EstiloCabecera">
    <w:name w:val="Estilo Cabecera"/>
    <w:basedOn w:val="Encabezado"/>
    <w:link w:val="EstiloCabeceraCar"/>
    <w:autoRedefine/>
    <w:uiPriority w:val="5"/>
    <w:qFormat/>
    <w:rsid w:val="006772F1"/>
    <w:pPr>
      <w:jc w:val="center"/>
    </w:pPr>
    <w:rPr>
      <w:rFonts w:ascii="Arial" w:hAnsi="Arial" w:cs="Arial"/>
      <w:color w:val="808080" w:themeColor="background2" w:themeShade="80"/>
      <w:sz w:val="20"/>
      <w:szCs w:val="20"/>
    </w:rPr>
  </w:style>
  <w:style w:type="character" w:customStyle="1" w:styleId="IndicePiepginaCar">
    <w:name w:val="Indice Pie página Car"/>
    <w:basedOn w:val="PiedepginaCar"/>
    <w:link w:val="IndicePiepgina"/>
    <w:uiPriority w:val="5"/>
    <w:rsid w:val="00283CEB"/>
    <w:rPr>
      <w:color w:val="9F9F9F" w:themeColor="background1" w:themeTint="99"/>
      <w:sz w:val="20"/>
    </w:rPr>
  </w:style>
  <w:style w:type="character" w:customStyle="1" w:styleId="EstiloCabeceraCar">
    <w:name w:val="Estilo Cabecera Car"/>
    <w:basedOn w:val="EncabezadoCar"/>
    <w:link w:val="EstiloCabecera"/>
    <w:uiPriority w:val="5"/>
    <w:rsid w:val="006772F1"/>
    <w:rPr>
      <w:rFonts w:ascii="Arial" w:hAnsi="Arial" w:cs="Arial"/>
      <w:color w:val="808080" w:themeColor="background2" w:themeShade="80"/>
      <w:sz w:val="20"/>
      <w:szCs w:val="20"/>
    </w:rPr>
  </w:style>
  <w:style w:type="paragraph" w:customStyle="1" w:styleId="CabeceraDatos">
    <w:name w:val="Cabecera Datos"/>
    <w:basedOn w:val="Normal"/>
    <w:link w:val="CabeceraDatosCar"/>
    <w:autoRedefine/>
    <w:uiPriority w:val="5"/>
    <w:qFormat/>
    <w:rsid w:val="0078456D"/>
    <w:pPr>
      <w:spacing w:line="240" w:lineRule="auto"/>
    </w:pPr>
    <w:rPr>
      <w:i/>
      <w:iCs/>
      <w:color w:val="808080" w:themeColor="background2" w:themeShade="80"/>
      <w:sz w:val="18"/>
    </w:rPr>
  </w:style>
  <w:style w:type="character" w:customStyle="1" w:styleId="URL">
    <w:name w:val="URL"/>
    <w:basedOn w:val="Fuentedeprrafopredeter"/>
    <w:uiPriority w:val="1"/>
    <w:qFormat/>
    <w:rsid w:val="00F50800"/>
    <w:rPr>
      <w:rFonts w:asciiTheme="minorHAnsi" w:hAnsiTheme="minorHAnsi" w:cs="Arial"/>
      <w:noProof/>
      <w:color w:val="005DE6"/>
      <w:kern w:val="24"/>
      <w:sz w:val="24"/>
      <w:lang w:val="en-US"/>
    </w:rPr>
  </w:style>
  <w:style w:type="character" w:customStyle="1" w:styleId="CabeceraDatosCar">
    <w:name w:val="Cabecera Datos Car"/>
    <w:basedOn w:val="Fuentedeprrafopredeter"/>
    <w:link w:val="CabeceraDatos"/>
    <w:uiPriority w:val="5"/>
    <w:rsid w:val="0078456D"/>
    <w:rPr>
      <w:i/>
      <w:iCs/>
      <w:color w:val="808080" w:themeColor="background2" w:themeShade="80"/>
      <w:sz w:val="18"/>
    </w:rPr>
  </w:style>
  <w:style w:type="table" w:customStyle="1" w:styleId="EstiloTabla">
    <w:name w:val="Estilo Tabla"/>
    <w:basedOn w:val="Tablanormal"/>
    <w:uiPriority w:val="99"/>
    <w:rsid w:val="00873D9A"/>
    <w:pPr>
      <w:spacing w:after="0" w:line="240" w:lineRule="auto"/>
    </w:pPr>
    <w:tblPr/>
  </w:style>
  <w:style w:type="table" w:customStyle="1" w:styleId="TablaTelefonica">
    <w:name w:val="TablaTelefonica"/>
    <w:basedOn w:val="Tablanormal"/>
    <w:uiPriority w:val="99"/>
    <w:rsid w:val="002C550D"/>
    <w:pPr>
      <w:spacing w:after="0" w:line="360" w:lineRule="auto"/>
      <w:jc w:val="center"/>
    </w:pPr>
    <w:rPr>
      <w:rFonts w:ascii="Arial" w:hAnsi="Arial"/>
    </w:rPr>
    <w:tblPr>
      <w:tblBorders>
        <w:top w:val="single" w:sz="2" w:space="0" w:color="D9D9D9" w:themeColor="background2" w:themeShade="D9"/>
        <w:left w:val="single" w:sz="2" w:space="0" w:color="D9D9D9" w:themeColor="background2" w:themeShade="D9"/>
        <w:bottom w:val="single" w:sz="2" w:space="0" w:color="D9D9D9" w:themeColor="background2" w:themeShade="D9"/>
        <w:right w:val="single" w:sz="2" w:space="0" w:color="D9D9D9" w:themeColor="background2" w:themeShade="D9"/>
        <w:insideH w:val="single" w:sz="2" w:space="0" w:color="D9D9D9" w:themeColor="background2" w:themeShade="D9"/>
        <w:insideV w:val="single" w:sz="2" w:space="0" w:color="D9D9D9" w:themeColor="background2" w:themeShade="D9"/>
      </w:tblBorders>
    </w:tblPr>
    <w:tcPr>
      <w:vAlign w:val="center"/>
    </w:tcPr>
    <w:tblStylePr w:type="firstRow">
      <w:pPr>
        <w:wordWrap/>
        <w:jc w:val="center"/>
      </w:pPr>
      <w:rPr>
        <w:rFonts w:ascii="Arial" w:hAnsi="Arial"/>
        <w:b/>
        <w:i w:val="0"/>
        <w:color w:val="0C6DFF"/>
        <w:sz w:val="22"/>
      </w:rPr>
      <w:tblPr/>
      <w:tcPr>
        <w:tcBorders>
          <w:top w:val="single" w:sz="2" w:space="0" w:color="BFBFBF" w:themeColor="background2" w:themeShade="BF"/>
          <w:left w:val="single" w:sz="2" w:space="0" w:color="BFBFBF" w:themeColor="background2" w:themeShade="BF"/>
          <w:bottom w:val="single" w:sz="2" w:space="0" w:color="BFBFBF" w:themeColor="background2" w:themeShade="BF"/>
          <w:right w:val="single" w:sz="2" w:space="0" w:color="BFBFBF" w:themeColor="background2" w:themeShade="BF"/>
          <w:insideH w:val="single" w:sz="2" w:space="0" w:color="BFBFBF" w:themeColor="background2" w:themeShade="BF"/>
          <w:insideV w:val="single" w:sz="2" w:space="0" w:color="BFBFBF" w:themeColor="background2" w:themeShade="BF"/>
          <w:tl2br w:val="nil"/>
          <w:tr2bl w:val="nil"/>
        </w:tcBorders>
      </w:tcPr>
    </w:tblStylePr>
    <w:tblStylePr w:type="lastRow">
      <w:rPr>
        <w:rFonts w:ascii="Arial" w:hAnsi="Arial"/>
        <w:b/>
        <w:sz w:val="22"/>
      </w:rPr>
    </w:tblStylePr>
    <w:tblStylePr w:type="firstCol">
      <w:pPr>
        <w:jc w:val="left"/>
      </w:pPr>
      <w:rPr>
        <w:rFonts w:ascii="Arial" w:hAnsi="Arial"/>
        <w:b/>
        <w:i w:val="0"/>
        <w:color w:val="0C6DFF" w:themeColor="text1"/>
        <w:sz w:val="22"/>
      </w:rPr>
    </w:tblStylePr>
  </w:style>
  <w:style w:type="table" w:styleId="Tablaconcuadrcula1clara">
    <w:name w:val="Grid Table 1 Light"/>
    <w:basedOn w:val="Tablanormal"/>
    <w:uiPriority w:val="46"/>
    <w:rsid w:val="00E75CD6"/>
    <w:pPr>
      <w:spacing w:after="0" w:line="240" w:lineRule="auto"/>
    </w:pPr>
    <w:tblPr>
      <w:tblStyleRowBandSize w:val="1"/>
      <w:tblStyleColBandSize w:val="1"/>
      <w:tblBorders>
        <w:top w:val="single" w:sz="4" w:space="0" w:color="9DC4FF" w:themeColor="text1" w:themeTint="66"/>
        <w:left w:val="single" w:sz="4" w:space="0" w:color="9DC4FF" w:themeColor="text1" w:themeTint="66"/>
        <w:bottom w:val="single" w:sz="4" w:space="0" w:color="9DC4FF" w:themeColor="text1" w:themeTint="66"/>
        <w:right w:val="single" w:sz="4" w:space="0" w:color="9DC4FF" w:themeColor="text1" w:themeTint="66"/>
        <w:insideH w:val="single" w:sz="4" w:space="0" w:color="9DC4FF" w:themeColor="text1" w:themeTint="66"/>
        <w:insideV w:val="single" w:sz="4" w:space="0" w:color="9DC4FF" w:themeColor="text1" w:themeTint="66"/>
      </w:tblBorders>
    </w:tblPr>
    <w:tblStylePr w:type="firstRow">
      <w:rPr>
        <w:b/>
        <w:bCs/>
      </w:rPr>
      <w:tblPr/>
      <w:tcPr>
        <w:tcBorders>
          <w:bottom w:val="single" w:sz="12" w:space="0" w:color="6DA6FF" w:themeColor="text1" w:themeTint="99"/>
        </w:tcBorders>
      </w:tcPr>
    </w:tblStylePr>
    <w:tblStylePr w:type="lastRow">
      <w:rPr>
        <w:b/>
        <w:bCs/>
      </w:rPr>
      <w:tblPr/>
      <w:tcPr>
        <w:tcBorders>
          <w:top w:val="double" w:sz="2" w:space="0" w:color="6DA6FF"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10C60"/>
    <w:rPr>
      <w:color w:val="605E5C"/>
      <w:shd w:val="clear" w:color="auto" w:fill="E1DFDD"/>
    </w:rPr>
  </w:style>
  <w:style w:type="character" w:customStyle="1" w:styleId="Ttulo3Car">
    <w:name w:val="Título 3 Car"/>
    <w:basedOn w:val="Fuentedeprrafopredeter"/>
    <w:link w:val="Ttulo3"/>
    <w:uiPriority w:val="2"/>
    <w:rsid w:val="008C6592"/>
    <w:rPr>
      <w:rFonts w:asciiTheme="majorHAnsi" w:eastAsiaTheme="majorEastAsia" w:hAnsiTheme="majorHAnsi" w:cstheme="majorBidi"/>
      <w:color w:val="363B49" w:themeColor="accent1" w:themeShade="7F"/>
      <w:sz w:val="24"/>
      <w:szCs w:val="24"/>
    </w:rPr>
  </w:style>
  <w:style w:type="numbering" w:customStyle="1" w:styleId="ListaTelefonica">
    <w:name w:val="Lista Telefonica"/>
    <w:uiPriority w:val="99"/>
    <w:rsid w:val="00E732E8"/>
    <w:pPr>
      <w:numPr>
        <w:numId w:val="17"/>
      </w:numPr>
    </w:pPr>
  </w:style>
  <w:style w:type="numbering" w:customStyle="1" w:styleId="NuevaListaTelefonica">
    <w:name w:val="Nueva Lista Telefonica"/>
    <w:uiPriority w:val="99"/>
    <w:rsid w:val="0067616A"/>
    <w:pPr>
      <w:numPr>
        <w:numId w:val="20"/>
      </w:numPr>
    </w:pPr>
  </w:style>
  <w:style w:type="paragraph" w:customStyle="1" w:styleId="Disclaimer">
    <w:name w:val="Disclaimer"/>
    <w:basedOn w:val="Normal"/>
    <w:uiPriority w:val="99"/>
    <w:qFormat/>
    <w:rsid w:val="00F522CC"/>
    <w:pPr>
      <w:framePr w:hSpace="180" w:wrap="around" w:vAnchor="page" w:hAnchor="margin" w:xAlign="center" w:y="3307"/>
      <w:spacing w:after="80" w:line="240" w:lineRule="auto"/>
      <w:ind w:right="323"/>
    </w:pPr>
    <w:rPr>
      <w:bCs/>
      <w:color w:val="606060" w:themeColor="background1"/>
      <w:sz w:val="14"/>
      <w:szCs w:val="14"/>
      <w:lang w:val="en-GB" w:eastAsia="en-GB"/>
    </w:rPr>
  </w:style>
  <w:style w:type="character" w:customStyle="1" w:styleId="TextWhite">
    <w:name w:val="Text_White"/>
    <w:basedOn w:val="Fuentedeprrafopredeter"/>
    <w:uiPriority w:val="1"/>
    <w:qFormat/>
    <w:rsid w:val="00F522CC"/>
    <w:rPr>
      <w:color w:val="606060" w:themeColor="background1"/>
    </w:rPr>
  </w:style>
  <w:style w:type="character" w:customStyle="1" w:styleId="Ttulo4Car">
    <w:name w:val="Título 4 Car"/>
    <w:basedOn w:val="Fuentedeprrafopredeter"/>
    <w:link w:val="Ttulo4"/>
    <w:uiPriority w:val="9"/>
    <w:semiHidden/>
    <w:rsid w:val="00E85E6E"/>
    <w:rPr>
      <w:rFonts w:eastAsiaTheme="majorEastAsia" w:cstheme="majorBidi"/>
      <w:i/>
      <w:iCs/>
      <w:color w:val="52596E" w:themeColor="accent1" w:themeShade="BF"/>
    </w:rPr>
  </w:style>
  <w:style w:type="character" w:customStyle="1" w:styleId="Ttulo5Car">
    <w:name w:val="Título 5 Car"/>
    <w:basedOn w:val="Fuentedeprrafopredeter"/>
    <w:link w:val="Ttulo5"/>
    <w:uiPriority w:val="9"/>
    <w:semiHidden/>
    <w:rsid w:val="00E85E6E"/>
    <w:rPr>
      <w:rFonts w:eastAsiaTheme="majorEastAsia" w:cstheme="majorBidi"/>
      <w:color w:val="52596E" w:themeColor="accent1" w:themeShade="BF"/>
    </w:rPr>
  </w:style>
  <w:style w:type="character" w:customStyle="1" w:styleId="Ttulo6Car">
    <w:name w:val="Título 6 Car"/>
    <w:basedOn w:val="Fuentedeprrafopredeter"/>
    <w:link w:val="Ttulo6"/>
    <w:uiPriority w:val="9"/>
    <w:semiHidden/>
    <w:rsid w:val="00E85E6E"/>
    <w:rPr>
      <w:rFonts w:eastAsiaTheme="majorEastAsia" w:cstheme="majorBidi"/>
      <w:i/>
      <w:iCs/>
      <w:color w:val="609FFF" w:themeColor="text1" w:themeTint="A6"/>
    </w:rPr>
  </w:style>
  <w:style w:type="character" w:customStyle="1" w:styleId="Ttulo7Car">
    <w:name w:val="Título 7 Car"/>
    <w:basedOn w:val="Fuentedeprrafopredeter"/>
    <w:link w:val="Ttulo7"/>
    <w:uiPriority w:val="9"/>
    <w:semiHidden/>
    <w:rsid w:val="00E85E6E"/>
    <w:rPr>
      <w:rFonts w:eastAsiaTheme="majorEastAsia" w:cstheme="majorBidi"/>
      <w:color w:val="609FFF" w:themeColor="text1" w:themeTint="A6"/>
    </w:rPr>
  </w:style>
  <w:style w:type="character" w:customStyle="1" w:styleId="Ttulo8Car">
    <w:name w:val="Título 8 Car"/>
    <w:basedOn w:val="Fuentedeprrafopredeter"/>
    <w:link w:val="Ttulo8"/>
    <w:uiPriority w:val="9"/>
    <w:semiHidden/>
    <w:rsid w:val="00E85E6E"/>
    <w:rPr>
      <w:rFonts w:eastAsiaTheme="majorEastAsia" w:cstheme="majorBidi"/>
      <w:i/>
      <w:iCs/>
      <w:color w:val="3182FF" w:themeColor="text1" w:themeTint="D8"/>
    </w:rPr>
  </w:style>
  <w:style w:type="character" w:customStyle="1" w:styleId="Ttulo9Car">
    <w:name w:val="Título 9 Car"/>
    <w:basedOn w:val="Fuentedeprrafopredeter"/>
    <w:link w:val="Ttulo9"/>
    <w:uiPriority w:val="9"/>
    <w:semiHidden/>
    <w:rsid w:val="00E85E6E"/>
    <w:rPr>
      <w:rFonts w:eastAsiaTheme="majorEastAsia" w:cstheme="majorBidi"/>
      <w:color w:val="3182FF" w:themeColor="text1" w:themeTint="D8"/>
    </w:rPr>
  </w:style>
  <w:style w:type="paragraph" w:styleId="Ttulo">
    <w:name w:val="Title"/>
    <w:basedOn w:val="Normal"/>
    <w:next w:val="Normal"/>
    <w:link w:val="TtuloCar"/>
    <w:uiPriority w:val="10"/>
    <w:rsid w:val="00E85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5E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E85E6E"/>
    <w:pPr>
      <w:numPr>
        <w:ilvl w:val="1"/>
      </w:numPr>
    </w:pPr>
    <w:rPr>
      <w:rFonts w:eastAsiaTheme="majorEastAsia" w:cstheme="majorBidi"/>
      <w:color w:val="609FFF" w:themeColor="text1" w:themeTint="A6"/>
      <w:spacing w:val="15"/>
      <w:sz w:val="28"/>
      <w:szCs w:val="28"/>
    </w:rPr>
  </w:style>
  <w:style w:type="character" w:customStyle="1" w:styleId="SubttuloCar">
    <w:name w:val="Subtítulo Car"/>
    <w:basedOn w:val="Fuentedeprrafopredeter"/>
    <w:link w:val="Subttulo"/>
    <w:uiPriority w:val="11"/>
    <w:rsid w:val="00E85E6E"/>
    <w:rPr>
      <w:rFonts w:eastAsiaTheme="majorEastAsia" w:cstheme="majorBidi"/>
      <w:color w:val="609FFF" w:themeColor="text1" w:themeTint="A6"/>
      <w:spacing w:val="15"/>
      <w:sz w:val="28"/>
      <w:szCs w:val="28"/>
    </w:rPr>
  </w:style>
  <w:style w:type="paragraph" w:styleId="Cita">
    <w:name w:val="Quote"/>
    <w:basedOn w:val="Normal"/>
    <w:next w:val="Normal"/>
    <w:link w:val="CitaCar"/>
    <w:uiPriority w:val="29"/>
    <w:rsid w:val="00E85E6E"/>
    <w:pPr>
      <w:spacing w:before="160"/>
      <w:jc w:val="center"/>
    </w:pPr>
    <w:rPr>
      <w:i/>
      <w:iCs/>
      <w:color w:val="4890FF" w:themeColor="text1" w:themeTint="BF"/>
    </w:rPr>
  </w:style>
  <w:style w:type="character" w:customStyle="1" w:styleId="CitaCar">
    <w:name w:val="Cita Car"/>
    <w:basedOn w:val="Fuentedeprrafopredeter"/>
    <w:link w:val="Cita"/>
    <w:uiPriority w:val="29"/>
    <w:rsid w:val="00E85E6E"/>
    <w:rPr>
      <w:i/>
      <w:iCs/>
      <w:color w:val="4890FF" w:themeColor="text1" w:themeTint="BF"/>
    </w:rPr>
  </w:style>
  <w:style w:type="character" w:styleId="nfasisintenso">
    <w:name w:val="Intense Emphasis"/>
    <w:basedOn w:val="Fuentedeprrafopredeter"/>
    <w:uiPriority w:val="21"/>
    <w:rsid w:val="00E85E6E"/>
    <w:rPr>
      <w:i/>
      <w:iCs/>
      <w:color w:val="52596E" w:themeColor="accent1" w:themeShade="BF"/>
    </w:rPr>
  </w:style>
  <w:style w:type="paragraph" w:styleId="Citadestacada">
    <w:name w:val="Intense Quote"/>
    <w:basedOn w:val="Normal"/>
    <w:next w:val="Normal"/>
    <w:link w:val="CitadestacadaCar"/>
    <w:uiPriority w:val="30"/>
    <w:rsid w:val="00E85E6E"/>
    <w:pPr>
      <w:pBdr>
        <w:top w:val="single" w:sz="4" w:space="10" w:color="52596E" w:themeColor="accent1" w:themeShade="BF"/>
        <w:bottom w:val="single" w:sz="4" w:space="10" w:color="52596E" w:themeColor="accent1" w:themeShade="BF"/>
      </w:pBdr>
      <w:spacing w:before="360" w:after="360"/>
      <w:ind w:left="864" w:right="864"/>
      <w:jc w:val="center"/>
    </w:pPr>
    <w:rPr>
      <w:i/>
      <w:iCs/>
      <w:color w:val="52596E" w:themeColor="accent1" w:themeShade="BF"/>
    </w:rPr>
  </w:style>
  <w:style w:type="character" w:customStyle="1" w:styleId="CitadestacadaCar">
    <w:name w:val="Cita destacada Car"/>
    <w:basedOn w:val="Fuentedeprrafopredeter"/>
    <w:link w:val="Citadestacada"/>
    <w:uiPriority w:val="30"/>
    <w:rsid w:val="00E85E6E"/>
    <w:rPr>
      <w:i/>
      <w:iCs/>
      <w:color w:val="52596E" w:themeColor="accent1" w:themeShade="BF"/>
    </w:rPr>
  </w:style>
  <w:style w:type="character" w:styleId="Referenciaintensa">
    <w:name w:val="Intense Reference"/>
    <w:basedOn w:val="Fuentedeprrafopredeter"/>
    <w:uiPriority w:val="32"/>
    <w:rsid w:val="00E85E6E"/>
    <w:rPr>
      <w:b/>
      <w:bCs/>
      <w:smallCaps/>
      <w:color w:val="52596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990">
      <w:bodyDiv w:val="1"/>
      <w:marLeft w:val="0"/>
      <w:marRight w:val="0"/>
      <w:marTop w:val="0"/>
      <w:marBottom w:val="0"/>
      <w:divBdr>
        <w:top w:val="none" w:sz="0" w:space="0" w:color="auto"/>
        <w:left w:val="none" w:sz="0" w:space="0" w:color="auto"/>
        <w:bottom w:val="none" w:sz="0" w:space="0" w:color="auto"/>
        <w:right w:val="none" w:sz="0" w:space="0" w:color="auto"/>
      </w:divBdr>
    </w:div>
    <w:div w:id="300841050">
      <w:bodyDiv w:val="1"/>
      <w:marLeft w:val="0"/>
      <w:marRight w:val="0"/>
      <w:marTop w:val="0"/>
      <w:marBottom w:val="0"/>
      <w:divBdr>
        <w:top w:val="none" w:sz="0" w:space="0" w:color="auto"/>
        <w:left w:val="none" w:sz="0" w:space="0" w:color="auto"/>
        <w:bottom w:val="none" w:sz="0" w:space="0" w:color="auto"/>
        <w:right w:val="none" w:sz="0" w:space="0" w:color="auto"/>
      </w:divBdr>
    </w:div>
    <w:div w:id="669452612">
      <w:bodyDiv w:val="1"/>
      <w:marLeft w:val="0"/>
      <w:marRight w:val="0"/>
      <w:marTop w:val="0"/>
      <w:marBottom w:val="0"/>
      <w:divBdr>
        <w:top w:val="none" w:sz="0" w:space="0" w:color="auto"/>
        <w:left w:val="none" w:sz="0" w:space="0" w:color="auto"/>
        <w:bottom w:val="none" w:sz="0" w:space="0" w:color="auto"/>
        <w:right w:val="none" w:sz="0" w:space="0" w:color="auto"/>
      </w:divBdr>
    </w:div>
    <w:div w:id="917833454">
      <w:bodyDiv w:val="1"/>
      <w:marLeft w:val="0"/>
      <w:marRight w:val="0"/>
      <w:marTop w:val="0"/>
      <w:marBottom w:val="0"/>
      <w:divBdr>
        <w:top w:val="none" w:sz="0" w:space="0" w:color="auto"/>
        <w:left w:val="none" w:sz="0" w:space="0" w:color="auto"/>
        <w:bottom w:val="none" w:sz="0" w:space="0" w:color="auto"/>
        <w:right w:val="none" w:sz="0" w:space="0" w:color="auto"/>
      </w:divBdr>
    </w:div>
    <w:div w:id="965425444">
      <w:bodyDiv w:val="1"/>
      <w:marLeft w:val="0"/>
      <w:marRight w:val="0"/>
      <w:marTop w:val="0"/>
      <w:marBottom w:val="0"/>
      <w:divBdr>
        <w:top w:val="none" w:sz="0" w:space="0" w:color="auto"/>
        <w:left w:val="none" w:sz="0" w:space="0" w:color="auto"/>
        <w:bottom w:val="none" w:sz="0" w:space="0" w:color="auto"/>
        <w:right w:val="none" w:sz="0" w:space="0" w:color="auto"/>
      </w:divBdr>
    </w:div>
    <w:div w:id="1630818550">
      <w:bodyDiv w:val="1"/>
      <w:marLeft w:val="0"/>
      <w:marRight w:val="0"/>
      <w:marTop w:val="0"/>
      <w:marBottom w:val="0"/>
      <w:divBdr>
        <w:top w:val="none" w:sz="0" w:space="0" w:color="auto"/>
        <w:left w:val="none" w:sz="0" w:space="0" w:color="auto"/>
        <w:bottom w:val="none" w:sz="0" w:space="0" w:color="auto"/>
        <w:right w:val="none" w:sz="0" w:space="0" w:color="auto"/>
      </w:divBdr>
      <w:divsChild>
        <w:div w:id="593169242">
          <w:marLeft w:val="1555"/>
          <w:marRight w:val="0"/>
          <w:marTop w:val="86"/>
          <w:marBottom w:val="0"/>
          <w:divBdr>
            <w:top w:val="none" w:sz="0" w:space="0" w:color="auto"/>
            <w:left w:val="none" w:sz="0" w:space="0" w:color="auto"/>
            <w:bottom w:val="none" w:sz="0" w:space="0" w:color="auto"/>
            <w:right w:val="none" w:sz="0" w:space="0" w:color="auto"/>
          </w:divBdr>
        </w:div>
        <w:div w:id="1021862778">
          <w:marLeft w:val="2405"/>
          <w:marRight w:val="0"/>
          <w:marTop w:val="67"/>
          <w:marBottom w:val="0"/>
          <w:divBdr>
            <w:top w:val="none" w:sz="0" w:space="0" w:color="auto"/>
            <w:left w:val="none" w:sz="0" w:space="0" w:color="auto"/>
            <w:bottom w:val="none" w:sz="0" w:space="0" w:color="auto"/>
            <w:right w:val="none" w:sz="0" w:space="0" w:color="auto"/>
          </w:divBdr>
        </w:div>
      </w:divsChild>
    </w:div>
    <w:div w:id="19841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ta.org.co/html/vista_de_un_documento.asp?DocumentoID=60373"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eta.org.co/html/vista_de_un_articulo.asp?Norma=41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ta.org.co/html/vista_de_un_documento.asp?DocumentoID=60373" TargetMode="External"/><Relationship Id="rId5" Type="http://schemas.openxmlformats.org/officeDocument/2006/relationships/settings" Target="settings.xml"/><Relationship Id="rId15" Type="http://schemas.openxmlformats.org/officeDocument/2006/relationships/hyperlink" Target="https://normograma.dian.gov.co/dian/" TargetMode="External"/><Relationship Id="rId10" Type="http://schemas.openxmlformats.org/officeDocument/2006/relationships/hyperlink" Target="https://www.ceta.org.co/html/vista_de_un_documento.asp?DocumentoID=60373"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ceta.org.co/html/vista_de_un_articulo.asp?Norma=415" TargetMode="External"/><Relationship Id="rId14" Type="http://schemas.openxmlformats.org/officeDocument/2006/relationships/hyperlink" Target="https://www.ceta.org.co/html/vista_de_un_articulo.asp?Norma=415" TargetMode="External"/></Relationships>
</file>

<file path=word/theme/theme1.xml><?xml version="1.0" encoding="utf-8"?>
<a:theme xmlns:a="http://schemas.openxmlformats.org/drawingml/2006/main" name="Tema de Office">
  <a:themeElements>
    <a:clrScheme name="Personalizado Telefonica">
      <a:dk1>
        <a:srgbClr val="0C6DFF"/>
      </a:dk1>
      <a:lt1>
        <a:srgbClr val="606060"/>
      </a:lt1>
      <a:dk2>
        <a:srgbClr val="0C6DFF"/>
      </a:dk2>
      <a:lt2>
        <a:srgbClr val="FFFF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País - dirección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09B69-6D32-4478-A73C-4FAC94867D02}">
  <ds:schemaRefs>
    <ds:schemaRef ds:uri="http://schemas.openxmlformats.org/officeDocument/2006/bibliography"/>
  </ds:schemaRefs>
</ds:datastoreItem>
</file>

<file path=docMetadata/LabelInfo.xml><?xml version="1.0" encoding="utf-8"?>
<clbl:labelList xmlns:clbl="http://schemas.microsoft.com/office/2020/mipLabelMetadata">
  <clbl:label id="{35bcdbf9-7feb-48d4-8a77-96de150ae250}" enabled="1" method="Privileged" siteId="{c254eece-964c-40d3-81bd-d74656c087fd}" contentBits="2" removed="0"/>
  <clbl:label id="{971eb7f6-99e3-4990-abf6-c5b9fd14c39b}" enabled="1" method="Privileged" siteId="{c254eece-964c-40d3-81bd-d74656c087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3696</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
  <dc:creator>Katty Geraldine Prieto Gomez</dc:creator>
  <cp:keywords/>
  <dc:description/>
  <cp:lastModifiedBy>Julian Camilo Velosa Morales</cp:lastModifiedBy>
  <cp:revision>1</cp:revision>
  <cp:lastPrinted>2018-07-24T10:54:00Z</cp:lastPrinted>
  <dcterms:created xsi:type="dcterms:W3CDTF">2026-04-27T15:06:00Z</dcterms:created>
  <dcterms:modified xsi:type="dcterms:W3CDTF">2026-04-27T15:06:00Z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1e187666,7bb37d9a,587c4f69</vt:lpwstr>
  </property>
  <property fmtid="{D5CDD505-2E9C-101B-9397-08002B2CF9AE}" pid="3" name="ClassificationContentMarkingFooterFontProps">
    <vt:lpwstr>#000000,8,Aptos</vt:lpwstr>
  </property>
  <property fmtid="{D5CDD505-2E9C-101B-9397-08002B2CF9AE}" pid="4" name="ClassificationContentMarkingFooterText">
    <vt:lpwstr>Documento Público</vt:lpwstr>
  </property>
  <property fmtid="{D5CDD505-2E9C-101B-9397-08002B2CF9AE}" pid="5" name="MSIP_Label_35bcdbf9-7feb-48d4-8a77-96de150ae250_Enabled">
    <vt:lpwstr>true</vt:lpwstr>
  </property>
  <property fmtid="{D5CDD505-2E9C-101B-9397-08002B2CF9AE}" pid="6" name="MSIP_Label_35bcdbf9-7feb-48d4-8a77-96de150ae250_SetDate">
    <vt:lpwstr>2026-04-27T15:06:37Z</vt:lpwstr>
  </property>
  <property fmtid="{D5CDD505-2E9C-101B-9397-08002B2CF9AE}" pid="7" name="MSIP_Label_35bcdbf9-7feb-48d4-8a77-96de150ae250_Method">
    <vt:lpwstr>Standard</vt:lpwstr>
  </property>
  <property fmtid="{D5CDD505-2E9C-101B-9397-08002B2CF9AE}" pid="8" name="MSIP_Label_35bcdbf9-7feb-48d4-8a77-96de150ae250_Name">
    <vt:lpwstr>Dto. Publico Colombia</vt:lpwstr>
  </property>
  <property fmtid="{D5CDD505-2E9C-101B-9397-08002B2CF9AE}" pid="9" name="MSIP_Label_35bcdbf9-7feb-48d4-8a77-96de150ae250_SiteId">
    <vt:lpwstr>c254eece-964c-40d3-81bd-d74656c087fd</vt:lpwstr>
  </property>
  <property fmtid="{D5CDD505-2E9C-101B-9397-08002B2CF9AE}" pid="10" name="MSIP_Label_35bcdbf9-7feb-48d4-8a77-96de150ae250_ActionId">
    <vt:lpwstr>639e3bc2-4f43-4a13-a5d8-3337198958e4</vt:lpwstr>
  </property>
  <property fmtid="{D5CDD505-2E9C-101B-9397-08002B2CF9AE}" pid="11" name="MSIP_Label_35bcdbf9-7feb-48d4-8a77-96de150ae250_ContentBits">
    <vt:lpwstr>0</vt:lpwstr>
  </property>
</Properties>
</file>