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4479" w:rsidRPr="00754479" w:rsidRDefault="00754479" w:rsidP="00754479">
      <w:pPr>
        <w:jc w:val="center"/>
        <w:rPr>
          <w:bCs/>
          <w:szCs w:val="20"/>
          <w:lang w:val="es-CO"/>
        </w:rPr>
      </w:pPr>
      <w:r w:rsidRPr="00754479">
        <w:rPr>
          <w:b/>
          <w:bCs/>
          <w:szCs w:val="20"/>
          <w:lang w:val="es-CO"/>
        </w:rPr>
        <w:t>Concepto 1693 [016752]</w:t>
      </w:r>
    </w:p>
    <w:p w:rsidR="00754479" w:rsidRPr="00754479" w:rsidRDefault="00754479" w:rsidP="00754479">
      <w:pPr>
        <w:jc w:val="center"/>
        <w:rPr>
          <w:bCs/>
          <w:szCs w:val="20"/>
          <w:lang w:val="es-CO"/>
        </w:rPr>
      </w:pPr>
      <w:r w:rsidRPr="00754479">
        <w:rPr>
          <w:b/>
          <w:bCs/>
          <w:szCs w:val="20"/>
          <w:lang w:val="es-CO"/>
        </w:rPr>
        <w:t>16-10-2025</w:t>
      </w:r>
    </w:p>
    <w:p w:rsidR="00754479" w:rsidRPr="00754479" w:rsidRDefault="00754479" w:rsidP="00754479">
      <w:pPr>
        <w:jc w:val="center"/>
        <w:rPr>
          <w:bCs/>
          <w:szCs w:val="20"/>
          <w:lang w:val="es-CO"/>
        </w:rPr>
      </w:pPr>
      <w:r w:rsidRPr="00754479">
        <w:rPr>
          <w:b/>
          <w:bCs/>
          <w:szCs w:val="20"/>
          <w:lang w:val="es-CO"/>
        </w:rPr>
        <w:t>DIAN</w:t>
      </w:r>
    </w:p>
    <w:p w:rsidR="00754479" w:rsidRPr="00754479" w:rsidRDefault="00754479" w:rsidP="00754479">
      <w:pPr>
        <w:rPr>
          <w:bCs/>
          <w:szCs w:val="20"/>
          <w:lang w:val="es-CO"/>
        </w:rPr>
      </w:pPr>
    </w:p>
    <w:p w:rsidR="00754479" w:rsidRPr="00754479" w:rsidRDefault="00754479" w:rsidP="00754479">
      <w:pPr>
        <w:rPr>
          <w:bCs/>
          <w:szCs w:val="20"/>
          <w:lang w:val="es-CO"/>
        </w:rPr>
      </w:pPr>
      <w:r w:rsidRPr="00754479">
        <w:rPr>
          <w:bCs/>
          <w:szCs w:val="20"/>
          <w:lang w:val="es-CO"/>
        </w:rPr>
        <w:t>100208192 - 1693</w:t>
      </w:r>
    </w:p>
    <w:p w:rsidR="00754479" w:rsidRPr="00754479" w:rsidRDefault="00754479" w:rsidP="00754479">
      <w:pPr>
        <w:rPr>
          <w:bCs/>
          <w:szCs w:val="20"/>
          <w:lang w:val="es-CO"/>
        </w:rPr>
      </w:pPr>
      <w:r w:rsidRPr="00754479">
        <w:rPr>
          <w:bCs/>
          <w:szCs w:val="20"/>
          <w:lang w:val="es-CO"/>
        </w:rPr>
        <w:t> </w:t>
      </w:r>
    </w:p>
    <w:p w:rsidR="00754479" w:rsidRPr="00754479" w:rsidRDefault="00754479" w:rsidP="00754479">
      <w:pPr>
        <w:rPr>
          <w:bCs/>
          <w:szCs w:val="20"/>
          <w:lang w:val="es-CO"/>
        </w:rPr>
      </w:pPr>
      <w:r w:rsidRPr="00754479">
        <w:rPr>
          <w:bCs/>
          <w:szCs w:val="20"/>
          <w:lang w:val="es-CO"/>
        </w:rPr>
        <w:t>Bogotá D.C.,</w:t>
      </w:r>
    </w:p>
    <w:p w:rsidR="00754479" w:rsidRPr="00754479" w:rsidRDefault="00754479" w:rsidP="00754479">
      <w:pPr>
        <w:rPr>
          <w:bCs/>
          <w:szCs w:val="20"/>
          <w:lang w:val="es-CO"/>
        </w:rPr>
      </w:pPr>
      <w:r w:rsidRPr="00754479">
        <w:rPr>
          <w:bCs/>
          <w:szCs w:val="20"/>
          <w:lang w:val="es-CO"/>
        </w:rPr>
        <w:t> </w:t>
      </w:r>
    </w:p>
    <w:p w:rsidR="00754479" w:rsidRPr="00754479" w:rsidRDefault="00754479" w:rsidP="00754479">
      <w:pPr>
        <w:rPr>
          <w:bCs/>
          <w:szCs w:val="20"/>
          <w:lang w:val="es-CO"/>
        </w:rPr>
      </w:pPr>
      <w:r w:rsidRPr="00754479">
        <w:rPr>
          <w:bCs/>
          <w:szCs w:val="20"/>
          <w:lang w:val="es-CO"/>
        </w:rPr>
        <w:t>Cordial saludo</w:t>
      </w:r>
    </w:p>
    <w:p w:rsidR="00754479" w:rsidRPr="00754479" w:rsidRDefault="00754479" w:rsidP="00754479">
      <w:pPr>
        <w:rPr>
          <w:bCs/>
          <w:szCs w:val="20"/>
          <w:lang w:val="es-CO"/>
        </w:rPr>
      </w:pPr>
      <w:r w:rsidRPr="00754479">
        <w:rPr>
          <w:bCs/>
          <w:szCs w:val="20"/>
          <w:lang w:val="es-CO"/>
        </w:rPr>
        <w:t> </w:t>
      </w:r>
    </w:p>
    <w:p w:rsidR="00754479" w:rsidRPr="00754479" w:rsidRDefault="00754479" w:rsidP="00754479">
      <w:pPr>
        <w:rPr>
          <w:bCs/>
          <w:szCs w:val="20"/>
          <w:lang w:val="es-CO"/>
        </w:rPr>
      </w:pPr>
      <w:r w:rsidRPr="00754479">
        <w:rPr>
          <w:bCs/>
          <w:szCs w:val="20"/>
          <w:lang w:val="es-CO"/>
        </w:rPr>
        <w:t>1. Esta Subdirección está facultada para absolver las consultas escritas, presentadas de manera general, sobre la interpretación y aplicación de las normas tributarias, aduaneras y de fiscalización cambiaria, en lo de competencia de la DIAN</w:t>
      </w:r>
      <w:hyperlink r:id="rId11" w:anchor="cite_note-1" w:history="1">
        <w:r w:rsidRPr="00754479">
          <w:rPr>
            <w:rStyle w:val="Hipervnculo"/>
            <w:bCs/>
            <w:szCs w:val="20"/>
            <w:vertAlign w:val="superscript"/>
            <w:lang w:val="es-CO"/>
          </w:rPr>
          <w:t>1</w:t>
        </w:r>
      </w:hyperlink>
      <w:r w:rsidRPr="00754479">
        <w:rPr>
          <w:bCs/>
          <w:szCs w:val="20"/>
          <w:lang w:val="es-CO"/>
        </w:rPr>
        <w:t>. En este sentido, la doctrina emitida será de carácter general, no se referirá a asuntos particulares y se someterá a lo consagrado en el artículo 131 de la Ley 2010 de 2019</w:t>
      </w:r>
      <w:hyperlink r:id="rId12" w:anchor="cite_note-2" w:history="1">
        <w:r w:rsidRPr="00754479">
          <w:rPr>
            <w:rStyle w:val="Hipervnculo"/>
            <w:bCs/>
            <w:szCs w:val="20"/>
            <w:vertAlign w:val="superscript"/>
            <w:lang w:val="es-CO"/>
          </w:rPr>
          <w:t>2</w:t>
        </w:r>
      </w:hyperlink>
      <w:r w:rsidRPr="00754479">
        <w:rPr>
          <w:bCs/>
          <w:szCs w:val="20"/>
          <w:lang w:val="es-CO"/>
        </w:rPr>
        <w:t>.</w:t>
      </w:r>
    </w:p>
    <w:p w:rsidR="00754479" w:rsidRPr="00754479" w:rsidRDefault="00754479" w:rsidP="00754479">
      <w:pPr>
        <w:rPr>
          <w:bCs/>
          <w:szCs w:val="20"/>
          <w:lang w:val="es-CO"/>
        </w:rPr>
      </w:pPr>
      <w:r w:rsidRPr="00754479">
        <w:rPr>
          <w:bCs/>
          <w:szCs w:val="20"/>
          <w:lang w:val="es-CO"/>
        </w:rPr>
        <w:t> </w:t>
      </w:r>
    </w:p>
    <w:p w:rsidR="00754479" w:rsidRPr="00754479" w:rsidRDefault="00754479" w:rsidP="00754479">
      <w:pPr>
        <w:rPr>
          <w:bCs/>
          <w:szCs w:val="20"/>
          <w:lang w:val="es-CO"/>
        </w:rPr>
      </w:pPr>
      <w:r w:rsidRPr="00754479">
        <w:rPr>
          <w:bCs/>
          <w:szCs w:val="20"/>
          <w:lang w:val="es-CO"/>
        </w:rPr>
        <w:t>2. En atención a la consulta de la referencia relacionada con el Impuesto Nacional con Destino al Turismo como Inversión Social, a continuación, nuestros comentarios:</w:t>
      </w:r>
    </w:p>
    <w:p w:rsidR="00754479" w:rsidRPr="00754479" w:rsidRDefault="00754479" w:rsidP="00754479">
      <w:pPr>
        <w:rPr>
          <w:bCs/>
          <w:szCs w:val="20"/>
          <w:lang w:val="es-CO"/>
        </w:rPr>
      </w:pPr>
      <w:r w:rsidRPr="00754479">
        <w:rPr>
          <w:bCs/>
          <w:szCs w:val="20"/>
          <w:lang w:val="es-CO"/>
        </w:rPr>
        <w:t> </w:t>
      </w:r>
    </w:p>
    <w:p w:rsidR="00754479" w:rsidRPr="00754479" w:rsidRDefault="00754479" w:rsidP="00754479">
      <w:pPr>
        <w:rPr>
          <w:bCs/>
          <w:szCs w:val="20"/>
          <w:lang w:val="es-CO"/>
        </w:rPr>
      </w:pPr>
      <w:r w:rsidRPr="00754479">
        <w:rPr>
          <w:b/>
          <w:bCs/>
          <w:szCs w:val="20"/>
          <w:lang w:val="es-CO"/>
        </w:rPr>
        <w:t>A. ¿Cuáles son los requisitos que debe cumplir el formulario que prescribe el Ministerio de Comercio, Industria y Turismo para el Impuesto Nacional con Destino al Turismo a efectos de ser considerado como una declaración tributaria?</w:t>
      </w:r>
    </w:p>
    <w:p w:rsidR="00754479" w:rsidRPr="00754479" w:rsidRDefault="00754479" w:rsidP="00754479">
      <w:pPr>
        <w:rPr>
          <w:bCs/>
          <w:szCs w:val="20"/>
          <w:lang w:val="es-CO"/>
        </w:rPr>
      </w:pPr>
      <w:r w:rsidRPr="00754479">
        <w:rPr>
          <w:bCs/>
          <w:szCs w:val="20"/>
          <w:lang w:val="es-CO"/>
        </w:rPr>
        <w:t> </w:t>
      </w:r>
    </w:p>
    <w:p w:rsidR="00754479" w:rsidRPr="00754479" w:rsidRDefault="00754479" w:rsidP="00754479">
      <w:pPr>
        <w:rPr>
          <w:bCs/>
          <w:szCs w:val="20"/>
          <w:lang w:val="es-CO"/>
        </w:rPr>
      </w:pPr>
      <w:r w:rsidRPr="00754479">
        <w:rPr>
          <w:bCs/>
          <w:szCs w:val="20"/>
          <w:lang w:val="es-CO"/>
        </w:rPr>
        <w:t>3. El Impuesto Nacional con Destino al Turismo como Inversión Social fue creado a través de la Ley 1101 de 2006 y modificado por el artículo 128 de la Ley 2010 de 2019.</w:t>
      </w:r>
    </w:p>
    <w:p w:rsidR="00754479" w:rsidRPr="00754479" w:rsidRDefault="00754479" w:rsidP="00754479">
      <w:pPr>
        <w:rPr>
          <w:bCs/>
          <w:szCs w:val="20"/>
          <w:lang w:val="es-CO"/>
        </w:rPr>
      </w:pPr>
      <w:r w:rsidRPr="00754479">
        <w:rPr>
          <w:bCs/>
          <w:szCs w:val="20"/>
          <w:lang w:val="es-CO"/>
        </w:rPr>
        <w:t> </w:t>
      </w:r>
    </w:p>
    <w:p w:rsidR="00754479" w:rsidRPr="00754479" w:rsidRDefault="00754479" w:rsidP="00754479">
      <w:pPr>
        <w:rPr>
          <w:bCs/>
          <w:szCs w:val="20"/>
          <w:lang w:val="es-CO"/>
        </w:rPr>
      </w:pPr>
      <w:r w:rsidRPr="00754479">
        <w:rPr>
          <w:bCs/>
          <w:szCs w:val="20"/>
          <w:lang w:val="es-CO"/>
        </w:rPr>
        <w:t>4. Con el fin de garantizar la adecuada administración, control y recaudo del tributo, el Gobierno nacional expidió el Decreto 1166 de 2020 mediante el cual se asignó al Ministerio de Comercio, Industria y Turismo la responsabilidad de prescribir el formulario que deben utilizar las empresas que presten el servicio de transporte aéreo de tráfico internacional de pasajeros para declarar y pagar dicho impuesto.</w:t>
      </w:r>
    </w:p>
    <w:p w:rsidR="00754479" w:rsidRPr="00754479" w:rsidRDefault="00754479" w:rsidP="00754479">
      <w:pPr>
        <w:rPr>
          <w:bCs/>
          <w:szCs w:val="20"/>
          <w:lang w:val="es-CO"/>
        </w:rPr>
      </w:pPr>
      <w:r w:rsidRPr="00754479">
        <w:rPr>
          <w:bCs/>
          <w:szCs w:val="20"/>
          <w:lang w:val="es-CO"/>
        </w:rPr>
        <w:t> </w:t>
      </w:r>
    </w:p>
    <w:p w:rsidR="00754479" w:rsidRPr="00754479" w:rsidRDefault="00754479" w:rsidP="00754479">
      <w:pPr>
        <w:rPr>
          <w:bCs/>
          <w:szCs w:val="20"/>
          <w:lang w:val="es-CO"/>
        </w:rPr>
      </w:pPr>
      <w:r w:rsidRPr="00754479">
        <w:rPr>
          <w:bCs/>
          <w:szCs w:val="20"/>
          <w:lang w:val="es-CO"/>
        </w:rPr>
        <w:t>5. En cumplimiento de esta disposición, el Ministerio de Comercio, Industria y Turismo expidió la Circular 014 del 30 de marzo de 2020 mediante la cual estableció el formulario oficial para la declaración del impuesto, así como las instrucciones sobre su diligenciamiento, presentación y pago.</w:t>
      </w:r>
    </w:p>
    <w:p w:rsidR="00754479" w:rsidRPr="00754479" w:rsidRDefault="00754479" w:rsidP="00754479">
      <w:pPr>
        <w:rPr>
          <w:bCs/>
          <w:szCs w:val="20"/>
          <w:lang w:val="es-CO"/>
        </w:rPr>
      </w:pPr>
      <w:r w:rsidRPr="00754479">
        <w:rPr>
          <w:bCs/>
          <w:szCs w:val="20"/>
          <w:lang w:val="es-CO"/>
        </w:rPr>
        <w:t> </w:t>
      </w:r>
    </w:p>
    <w:p w:rsidR="00754479" w:rsidRPr="00754479" w:rsidRDefault="00754479" w:rsidP="00754479">
      <w:pPr>
        <w:rPr>
          <w:bCs/>
          <w:szCs w:val="20"/>
          <w:lang w:val="es-CO"/>
        </w:rPr>
      </w:pPr>
      <w:r w:rsidRPr="00754479">
        <w:rPr>
          <w:bCs/>
          <w:szCs w:val="20"/>
          <w:lang w:val="es-CO"/>
        </w:rPr>
        <w:t>6. Así las cosas, por ministerio de la ley y de las normas reglamentarias, el formulario prescrito por el Ministerio de Comercio, Industria y Turismo es considerado como una declaración tributaria y tendrá los efectos previstos en el Estatuto Tributario, esto por cuanto el artículo 2.2.4.2.10.8. del Decreto 1166 de 2020, dispone que en todos los aspectos no regulados expresamente en dicha norma y, relacionados con la gestión del impuesto nacional con destino al turismo como inversión social, serán aplicables las disposiciones del Estatuto Tributario.</w:t>
      </w:r>
    </w:p>
    <w:p w:rsidR="00754479" w:rsidRPr="00754479" w:rsidRDefault="00754479" w:rsidP="00754479">
      <w:pPr>
        <w:rPr>
          <w:bCs/>
          <w:szCs w:val="20"/>
          <w:lang w:val="es-CO"/>
        </w:rPr>
      </w:pPr>
      <w:r w:rsidRPr="00754479">
        <w:rPr>
          <w:bCs/>
          <w:szCs w:val="20"/>
          <w:lang w:val="es-CO"/>
        </w:rPr>
        <w:t> </w:t>
      </w:r>
    </w:p>
    <w:p w:rsidR="00754479" w:rsidRPr="00754479" w:rsidRDefault="00754479" w:rsidP="00754479">
      <w:pPr>
        <w:rPr>
          <w:bCs/>
          <w:szCs w:val="20"/>
          <w:lang w:val="es-CO"/>
        </w:rPr>
      </w:pPr>
      <w:r w:rsidRPr="00754479">
        <w:rPr>
          <w:bCs/>
          <w:szCs w:val="20"/>
          <w:lang w:val="es-CO"/>
        </w:rPr>
        <w:t>7. En consecuencia, el responsable del impuesto deberá diligenciar y presentar la declaración del impuesto nacional con destino al turismo como inversión social, y de no cumplir con las disposiciones señaladas en el </w:t>
      </w:r>
      <w:hyperlink r:id="rId13" w:tooltip="Estatuto Tributario CETA" w:history="1">
        <w:r w:rsidRPr="00754479">
          <w:rPr>
            <w:rStyle w:val="Hipervnculo"/>
            <w:bCs/>
            <w:szCs w:val="20"/>
            <w:lang w:val="es-CO"/>
          </w:rPr>
          <w:t>artículo 580</w:t>
        </w:r>
      </w:hyperlink>
      <w:r w:rsidRPr="00754479">
        <w:rPr>
          <w:bCs/>
          <w:szCs w:val="20"/>
          <w:lang w:val="es-CO"/>
        </w:rPr>
        <w:t> del Estatuto Tributario, dicha declaración se entenderá como no presentada.</w:t>
      </w:r>
    </w:p>
    <w:p w:rsidR="00754479" w:rsidRPr="00754479" w:rsidRDefault="00754479" w:rsidP="00754479">
      <w:pPr>
        <w:rPr>
          <w:bCs/>
          <w:szCs w:val="20"/>
          <w:lang w:val="es-CO"/>
        </w:rPr>
      </w:pPr>
      <w:r w:rsidRPr="00754479">
        <w:rPr>
          <w:bCs/>
          <w:szCs w:val="20"/>
          <w:lang w:val="es-CO"/>
        </w:rPr>
        <w:t> </w:t>
      </w:r>
    </w:p>
    <w:p w:rsidR="00754479" w:rsidRPr="00754479" w:rsidRDefault="00754479" w:rsidP="00754479">
      <w:pPr>
        <w:rPr>
          <w:bCs/>
          <w:szCs w:val="20"/>
          <w:lang w:val="es-CO"/>
        </w:rPr>
      </w:pPr>
      <w:r w:rsidRPr="00754479">
        <w:rPr>
          <w:b/>
          <w:bCs/>
          <w:szCs w:val="20"/>
          <w:lang w:val="es-CO"/>
        </w:rPr>
        <w:t>B. ¿Cómo se determina la fecha de presentación de la declaración del Impuesto Nacional con Destino al Turismo?</w:t>
      </w:r>
    </w:p>
    <w:p w:rsidR="00754479" w:rsidRPr="00754479" w:rsidRDefault="00754479" w:rsidP="00754479">
      <w:pPr>
        <w:rPr>
          <w:bCs/>
          <w:szCs w:val="20"/>
          <w:lang w:val="es-CO"/>
        </w:rPr>
      </w:pPr>
      <w:r w:rsidRPr="00754479">
        <w:rPr>
          <w:bCs/>
          <w:szCs w:val="20"/>
          <w:lang w:val="es-CO"/>
        </w:rPr>
        <w:t> </w:t>
      </w:r>
    </w:p>
    <w:p w:rsidR="00754479" w:rsidRPr="00754479" w:rsidRDefault="00754479" w:rsidP="00754479">
      <w:pPr>
        <w:rPr>
          <w:bCs/>
          <w:szCs w:val="20"/>
          <w:lang w:val="es-CO"/>
        </w:rPr>
      </w:pPr>
      <w:r w:rsidRPr="00754479">
        <w:rPr>
          <w:bCs/>
          <w:szCs w:val="20"/>
          <w:lang w:val="es-CO"/>
        </w:rPr>
        <w:t>8. En lo que concierne a la presentación de la declaración del impuesto nacional con destino al turismo, el artículo 2.2.4.2.10.4. del Decreto 1166 de 2020 indica:</w:t>
      </w:r>
    </w:p>
    <w:p w:rsidR="00754479" w:rsidRPr="00754479" w:rsidRDefault="00754479" w:rsidP="00754479">
      <w:pPr>
        <w:rPr>
          <w:bCs/>
          <w:szCs w:val="20"/>
          <w:lang w:val="es-CO"/>
        </w:rPr>
      </w:pPr>
      <w:r w:rsidRPr="00754479">
        <w:rPr>
          <w:bCs/>
          <w:szCs w:val="20"/>
          <w:lang w:val="es-CO"/>
        </w:rPr>
        <w:t> </w:t>
      </w:r>
    </w:p>
    <w:p w:rsidR="00754479" w:rsidRPr="00754479" w:rsidRDefault="00754479" w:rsidP="00754479">
      <w:pPr>
        <w:rPr>
          <w:bCs/>
          <w:szCs w:val="20"/>
          <w:lang w:val="es-CO"/>
        </w:rPr>
      </w:pPr>
      <w:r w:rsidRPr="00754479">
        <w:rPr>
          <w:bCs/>
          <w:i/>
          <w:iCs/>
          <w:szCs w:val="20"/>
          <w:lang w:val="es-CO"/>
        </w:rPr>
        <w:t>“Artículo 2.2.4.2.10.4. Forma y periodicidad de las declaraciones del impuesto nacional con destino al turismo como inversión social. Las empresas que presten el servicio de transporte aéreo de tráfico internacional de pasajeros deberán presentar las declaraciones del impuesto nacional con destino al turismo como inversión social en el formulario que indique el Ministerio de Comercio, Industria y Turismo y efectuar la respectiva transferencia a más tardar el último día hábil del mes siguiente al respectivo trimestre. Los trimestres serán:</w:t>
      </w:r>
    </w:p>
    <w:p w:rsidR="00754479" w:rsidRPr="00754479" w:rsidRDefault="00754479" w:rsidP="00754479">
      <w:pPr>
        <w:rPr>
          <w:bCs/>
          <w:szCs w:val="20"/>
          <w:lang w:val="es-CO"/>
        </w:rPr>
      </w:pPr>
      <w:r w:rsidRPr="00754479">
        <w:rPr>
          <w:bCs/>
          <w:szCs w:val="20"/>
          <w:lang w:val="es-CO"/>
        </w:rPr>
        <w:t> </w:t>
      </w:r>
    </w:p>
    <w:p w:rsidR="00754479" w:rsidRPr="00754479" w:rsidRDefault="00754479" w:rsidP="00754479">
      <w:pPr>
        <w:rPr>
          <w:bCs/>
          <w:szCs w:val="20"/>
          <w:lang w:val="es-CO"/>
        </w:rPr>
      </w:pPr>
      <w:r w:rsidRPr="00754479">
        <w:rPr>
          <w:bCs/>
          <w:i/>
          <w:iCs/>
          <w:szCs w:val="20"/>
          <w:lang w:val="es-CO"/>
        </w:rPr>
        <w:t>1. Primer trimestre: enero a marzo</w:t>
      </w:r>
    </w:p>
    <w:p w:rsidR="00754479" w:rsidRPr="00754479" w:rsidRDefault="00754479" w:rsidP="00754479">
      <w:pPr>
        <w:rPr>
          <w:bCs/>
          <w:szCs w:val="20"/>
          <w:lang w:val="es-CO"/>
        </w:rPr>
      </w:pPr>
      <w:r w:rsidRPr="00754479">
        <w:rPr>
          <w:bCs/>
          <w:szCs w:val="20"/>
          <w:lang w:val="es-CO"/>
        </w:rPr>
        <w:t> </w:t>
      </w:r>
    </w:p>
    <w:p w:rsidR="00754479" w:rsidRPr="00754479" w:rsidRDefault="00754479" w:rsidP="00754479">
      <w:pPr>
        <w:rPr>
          <w:bCs/>
          <w:szCs w:val="20"/>
          <w:lang w:val="es-CO"/>
        </w:rPr>
      </w:pPr>
      <w:r w:rsidRPr="00754479">
        <w:rPr>
          <w:bCs/>
          <w:i/>
          <w:iCs/>
          <w:szCs w:val="20"/>
          <w:lang w:val="es-CO"/>
        </w:rPr>
        <w:t>2. Segundo trimestre: abril a junio</w:t>
      </w:r>
    </w:p>
    <w:p w:rsidR="00754479" w:rsidRPr="00754479" w:rsidRDefault="00754479" w:rsidP="00754479">
      <w:pPr>
        <w:rPr>
          <w:bCs/>
          <w:szCs w:val="20"/>
          <w:lang w:val="es-CO"/>
        </w:rPr>
      </w:pPr>
      <w:r w:rsidRPr="00754479">
        <w:rPr>
          <w:bCs/>
          <w:szCs w:val="20"/>
          <w:lang w:val="es-CO"/>
        </w:rPr>
        <w:t> </w:t>
      </w:r>
    </w:p>
    <w:p w:rsidR="00754479" w:rsidRPr="00754479" w:rsidRDefault="00754479" w:rsidP="00754479">
      <w:pPr>
        <w:rPr>
          <w:bCs/>
          <w:szCs w:val="20"/>
          <w:lang w:val="es-CO"/>
        </w:rPr>
      </w:pPr>
      <w:r w:rsidRPr="00754479">
        <w:rPr>
          <w:bCs/>
          <w:i/>
          <w:iCs/>
          <w:szCs w:val="20"/>
          <w:lang w:val="es-CO"/>
        </w:rPr>
        <w:t>3. Tercer trimestre: julio a septiembre</w:t>
      </w:r>
    </w:p>
    <w:p w:rsidR="00754479" w:rsidRPr="00754479" w:rsidRDefault="00754479" w:rsidP="00754479">
      <w:pPr>
        <w:rPr>
          <w:bCs/>
          <w:szCs w:val="20"/>
          <w:lang w:val="es-CO"/>
        </w:rPr>
      </w:pPr>
      <w:r w:rsidRPr="00754479">
        <w:rPr>
          <w:bCs/>
          <w:szCs w:val="20"/>
          <w:lang w:val="es-CO"/>
        </w:rPr>
        <w:t> </w:t>
      </w:r>
    </w:p>
    <w:p w:rsidR="00754479" w:rsidRPr="00754479" w:rsidRDefault="00754479" w:rsidP="00754479">
      <w:pPr>
        <w:rPr>
          <w:bCs/>
          <w:szCs w:val="20"/>
          <w:lang w:val="es-CO"/>
        </w:rPr>
      </w:pPr>
      <w:r w:rsidRPr="00754479">
        <w:rPr>
          <w:bCs/>
          <w:i/>
          <w:iCs/>
          <w:szCs w:val="20"/>
          <w:lang w:val="es-CO"/>
        </w:rPr>
        <w:t>4. Cuarto trimestre: octubre a diciembre</w:t>
      </w:r>
    </w:p>
    <w:p w:rsidR="00754479" w:rsidRPr="00754479" w:rsidRDefault="00754479" w:rsidP="00754479">
      <w:pPr>
        <w:rPr>
          <w:bCs/>
          <w:szCs w:val="20"/>
          <w:lang w:val="es-CO"/>
        </w:rPr>
      </w:pPr>
      <w:r w:rsidRPr="00754479">
        <w:rPr>
          <w:bCs/>
          <w:szCs w:val="20"/>
          <w:lang w:val="es-CO"/>
        </w:rPr>
        <w:t> </w:t>
      </w:r>
    </w:p>
    <w:p w:rsidR="00754479" w:rsidRPr="00754479" w:rsidRDefault="00754479" w:rsidP="00754479">
      <w:pPr>
        <w:rPr>
          <w:bCs/>
          <w:szCs w:val="20"/>
          <w:lang w:val="es-CO"/>
        </w:rPr>
      </w:pPr>
      <w:r w:rsidRPr="00754479">
        <w:rPr>
          <w:bCs/>
          <w:i/>
          <w:iCs/>
          <w:szCs w:val="20"/>
          <w:lang w:val="es-CO"/>
        </w:rPr>
        <w:t>Parágrafo 1. El responsable del cobro deberá remitir al administrador del Fondo Nacional de Turismo copia de la declaración mencionada, así como de la consignación o comprobante de la transferencia de los recursos a la cuenta que establezca el Ministerio de Comercio, Industria y Turismo y que, en todo caso, serán apropiados y formarán parte del Presupuesto General de la Nación. La Entidad Administradora del Fondo Nacional de Turismo podrá solicitar información adicional, cuando lo considere necesario.</w:t>
      </w:r>
    </w:p>
    <w:p w:rsidR="00754479" w:rsidRPr="00754479" w:rsidRDefault="00754479" w:rsidP="00754479">
      <w:pPr>
        <w:rPr>
          <w:bCs/>
          <w:szCs w:val="20"/>
          <w:lang w:val="es-CO"/>
        </w:rPr>
      </w:pPr>
      <w:r w:rsidRPr="00754479">
        <w:rPr>
          <w:bCs/>
          <w:szCs w:val="20"/>
          <w:lang w:val="es-CO"/>
        </w:rPr>
        <w:t> </w:t>
      </w:r>
    </w:p>
    <w:p w:rsidR="00754479" w:rsidRPr="00754479" w:rsidRDefault="00754479" w:rsidP="00754479">
      <w:pPr>
        <w:rPr>
          <w:bCs/>
          <w:szCs w:val="20"/>
          <w:lang w:val="es-CO"/>
        </w:rPr>
      </w:pPr>
      <w:r w:rsidRPr="00754479">
        <w:rPr>
          <w:bCs/>
          <w:i/>
          <w:iCs/>
          <w:szCs w:val="20"/>
          <w:lang w:val="es-CO"/>
        </w:rPr>
        <w:t>Parágrafo 2. El Ministerio de Comercio, Industria y Turismo definirá los mecanismos para la adecuada recepción de información relacionada con el cobro del impuesto.</w:t>
      </w:r>
    </w:p>
    <w:p w:rsidR="00754479" w:rsidRPr="00754479" w:rsidRDefault="00754479" w:rsidP="00754479">
      <w:pPr>
        <w:rPr>
          <w:bCs/>
          <w:szCs w:val="20"/>
          <w:lang w:val="es-CO"/>
        </w:rPr>
      </w:pPr>
      <w:r w:rsidRPr="00754479">
        <w:rPr>
          <w:bCs/>
          <w:szCs w:val="20"/>
          <w:lang w:val="es-CO"/>
        </w:rPr>
        <w:t> </w:t>
      </w:r>
    </w:p>
    <w:p w:rsidR="00754479" w:rsidRPr="00754479" w:rsidRDefault="00754479" w:rsidP="00754479">
      <w:pPr>
        <w:rPr>
          <w:bCs/>
          <w:szCs w:val="20"/>
          <w:lang w:val="es-CO"/>
        </w:rPr>
      </w:pPr>
      <w:r w:rsidRPr="00754479">
        <w:rPr>
          <w:bCs/>
          <w:i/>
          <w:iCs/>
          <w:szCs w:val="20"/>
          <w:lang w:val="es-CO"/>
        </w:rPr>
        <w:t>Parágrafo 3. La presentación de la declaración en forma extemporánea o con errores, dará lugar a la aplicación de las sanciones previstas en el Estatuto Tributario.”</w:t>
      </w:r>
    </w:p>
    <w:p w:rsidR="00754479" w:rsidRPr="00754479" w:rsidRDefault="00754479" w:rsidP="00754479">
      <w:pPr>
        <w:rPr>
          <w:bCs/>
          <w:szCs w:val="20"/>
          <w:lang w:val="es-CO"/>
        </w:rPr>
      </w:pPr>
      <w:r w:rsidRPr="00754479">
        <w:rPr>
          <w:bCs/>
          <w:szCs w:val="20"/>
          <w:lang w:val="es-CO"/>
        </w:rPr>
        <w:t> </w:t>
      </w:r>
    </w:p>
    <w:p w:rsidR="00754479" w:rsidRPr="00754479" w:rsidRDefault="00754479" w:rsidP="00754479">
      <w:pPr>
        <w:rPr>
          <w:bCs/>
          <w:szCs w:val="20"/>
          <w:lang w:val="es-CO"/>
        </w:rPr>
      </w:pPr>
      <w:r w:rsidRPr="00754479">
        <w:rPr>
          <w:bCs/>
          <w:szCs w:val="20"/>
          <w:lang w:val="es-CO"/>
        </w:rPr>
        <w:t>9. En el mismo sentido, la Circular 014 del 30 de marzo de 2020 señala que las empresas que presten el servicio de transporte aéreo del tráfico internacional de pasajeros deberán presentar ante el administrador del Fondo Nacional de Turismo: (i) formato original de la declaración debidamente diligenciado, con la información correspondiente al trimestre declarado, (</w:t>
      </w:r>
      <w:proofErr w:type="spellStart"/>
      <w:r w:rsidRPr="00754479">
        <w:rPr>
          <w:bCs/>
          <w:szCs w:val="20"/>
          <w:lang w:val="es-CO"/>
        </w:rPr>
        <w:t>ii</w:t>
      </w:r>
      <w:proofErr w:type="spellEnd"/>
      <w:r w:rsidRPr="00754479">
        <w:rPr>
          <w:bCs/>
          <w:szCs w:val="20"/>
          <w:lang w:val="es-CO"/>
        </w:rPr>
        <w:t>) carta remisoria de la información, (</w:t>
      </w:r>
      <w:proofErr w:type="spellStart"/>
      <w:r w:rsidRPr="00754479">
        <w:rPr>
          <w:bCs/>
          <w:szCs w:val="20"/>
          <w:lang w:val="es-CO"/>
        </w:rPr>
        <w:t>iii</w:t>
      </w:r>
      <w:proofErr w:type="spellEnd"/>
      <w:r w:rsidRPr="00754479">
        <w:rPr>
          <w:bCs/>
          <w:szCs w:val="20"/>
          <w:lang w:val="es-CO"/>
        </w:rPr>
        <w:t>) anexo de la relación de tiquetes vendidos diariamente, con la TRM del día y la liquidación del impuesto al turismo generado durante el período a declarar y, (</w:t>
      </w:r>
      <w:proofErr w:type="spellStart"/>
      <w:r w:rsidRPr="00754479">
        <w:rPr>
          <w:bCs/>
          <w:szCs w:val="20"/>
          <w:lang w:val="es-CO"/>
        </w:rPr>
        <w:t>iv</w:t>
      </w:r>
      <w:proofErr w:type="spellEnd"/>
      <w:r w:rsidRPr="00754479">
        <w:rPr>
          <w:bCs/>
          <w:szCs w:val="20"/>
          <w:lang w:val="es-CO"/>
        </w:rPr>
        <w:t>) la copia legible de la transferencia de recursos a la cuenta del Banco de la República, a más tardar el último día hábil del mes siguiente al respectivo trimestre a el Director de Negocios Especiales de la entidad administradora del Fondo Nacional de Turismo.</w:t>
      </w:r>
    </w:p>
    <w:p w:rsidR="00754479" w:rsidRPr="00754479" w:rsidRDefault="00754479" w:rsidP="00754479">
      <w:pPr>
        <w:rPr>
          <w:bCs/>
          <w:szCs w:val="20"/>
          <w:lang w:val="es-CO"/>
        </w:rPr>
      </w:pPr>
      <w:r w:rsidRPr="00754479">
        <w:rPr>
          <w:bCs/>
          <w:szCs w:val="20"/>
          <w:lang w:val="es-CO"/>
        </w:rPr>
        <w:t> </w:t>
      </w:r>
    </w:p>
    <w:p w:rsidR="00754479" w:rsidRPr="00754479" w:rsidRDefault="00754479" w:rsidP="00754479">
      <w:pPr>
        <w:rPr>
          <w:bCs/>
          <w:szCs w:val="20"/>
          <w:lang w:val="es-CO"/>
        </w:rPr>
      </w:pPr>
      <w:r w:rsidRPr="00754479">
        <w:rPr>
          <w:bCs/>
          <w:szCs w:val="20"/>
          <w:lang w:val="es-CO"/>
        </w:rPr>
        <w:t>10. Al tratarse de una declaración tributaria, la DIAN está facultada para determinar la obligación cuando se presenten inconsistencias con la misma, expidiendo de los actos administrativos correspondientes</w:t>
      </w:r>
      <w:hyperlink r:id="rId14" w:anchor="cite_note-3" w:history="1">
        <w:r w:rsidRPr="00754479">
          <w:rPr>
            <w:rStyle w:val="Hipervnculo"/>
            <w:bCs/>
            <w:szCs w:val="20"/>
            <w:vertAlign w:val="superscript"/>
            <w:lang w:val="es-CO"/>
          </w:rPr>
          <w:t>3</w:t>
        </w:r>
      </w:hyperlink>
      <w:r w:rsidRPr="00754479">
        <w:rPr>
          <w:bCs/>
          <w:szCs w:val="20"/>
          <w:lang w:val="es-CO"/>
        </w:rPr>
        <w:t>.</w:t>
      </w:r>
    </w:p>
    <w:p w:rsidR="00754479" w:rsidRPr="00754479" w:rsidRDefault="00754479" w:rsidP="00754479">
      <w:pPr>
        <w:rPr>
          <w:bCs/>
          <w:szCs w:val="20"/>
          <w:lang w:val="es-CO"/>
        </w:rPr>
      </w:pPr>
      <w:r w:rsidRPr="00754479">
        <w:rPr>
          <w:bCs/>
          <w:szCs w:val="20"/>
          <w:lang w:val="es-CO"/>
        </w:rPr>
        <w:t> </w:t>
      </w:r>
    </w:p>
    <w:p w:rsidR="00754479" w:rsidRPr="00754479" w:rsidRDefault="00754479" w:rsidP="00754479">
      <w:pPr>
        <w:rPr>
          <w:bCs/>
          <w:szCs w:val="20"/>
          <w:lang w:val="es-CO"/>
        </w:rPr>
      </w:pPr>
      <w:r w:rsidRPr="00754479">
        <w:rPr>
          <w:bCs/>
          <w:szCs w:val="20"/>
          <w:lang w:val="es-CO"/>
        </w:rPr>
        <w:t>11. Por último, teniendo en cuenta que es una declaración tributaria, le es aplicable el término general de firmeza previsto en el </w:t>
      </w:r>
      <w:hyperlink r:id="rId15" w:tooltip="Estatuto Tributario CETA" w:history="1">
        <w:r w:rsidRPr="00754479">
          <w:rPr>
            <w:rStyle w:val="Hipervnculo"/>
            <w:bCs/>
            <w:szCs w:val="20"/>
            <w:lang w:val="es-CO"/>
          </w:rPr>
          <w:t>artículo 714</w:t>
        </w:r>
      </w:hyperlink>
      <w:r w:rsidRPr="00754479">
        <w:rPr>
          <w:bCs/>
          <w:szCs w:val="20"/>
          <w:lang w:val="es-CO"/>
        </w:rPr>
        <w:t> del Estatuto Tributario.</w:t>
      </w:r>
    </w:p>
    <w:p w:rsidR="00754479" w:rsidRPr="00754479" w:rsidRDefault="00754479" w:rsidP="00754479">
      <w:pPr>
        <w:rPr>
          <w:bCs/>
          <w:szCs w:val="20"/>
          <w:lang w:val="es-CO"/>
        </w:rPr>
      </w:pPr>
      <w:r w:rsidRPr="00754479">
        <w:rPr>
          <w:bCs/>
          <w:szCs w:val="20"/>
          <w:lang w:val="es-CO"/>
        </w:rPr>
        <w:t> </w:t>
      </w:r>
    </w:p>
    <w:p w:rsidR="00754479" w:rsidRPr="00754479" w:rsidRDefault="00754479" w:rsidP="00754479">
      <w:pPr>
        <w:rPr>
          <w:bCs/>
          <w:szCs w:val="20"/>
          <w:lang w:val="es-CO"/>
        </w:rPr>
      </w:pPr>
      <w:r w:rsidRPr="00754479">
        <w:rPr>
          <w:b/>
          <w:bCs/>
          <w:szCs w:val="20"/>
          <w:lang w:val="es-CO"/>
        </w:rPr>
        <w:t xml:space="preserve">C. </w:t>
      </w:r>
      <w:proofErr w:type="gramStart"/>
      <w:r w:rsidRPr="00754479">
        <w:rPr>
          <w:b/>
          <w:bCs/>
          <w:szCs w:val="20"/>
          <w:lang w:val="es-CO"/>
        </w:rPr>
        <w:t>¿Cuál es el alcance jurídico de la “administración del Impuesto Nacional con Destino al Turismo” otorgado a la DIAN mediante el artículo 2.</w:t>
      </w:r>
      <w:proofErr w:type="gramEnd"/>
      <w:r w:rsidRPr="00754479">
        <w:rPr>
          <w:b/>
          <w:bCs/>
          <w:szCs w:val="20"/>
          <w:lang w:val="es-CO"/>
        </w:rPr>
        <w:t>2.4.2.10.7. del Decreto 1166 de 2020?</w:t>
      </w:r>
    </w:p>
    <w:p w:rsidR="00754479" w:rsidRPr="00754479" w:rsidRDefault="00754479" w:rsidP="00754479">
      <w:pPr>
        <w:rPr>
          <w:bCs/>
          <w:szCs w:val="20"/>
          <w:lang w:val="es-CO"/>
        </w:rPr>
      </w:pPr>
      <w:r w:rsidRPr="00754479">
        <w:rPr>
          <w:bCs/>
          <w:szCs w:val="20"/>
          <w:lang w:val="es-CO"/>
        </w:rPr>
        <w:t> </w:t>
      </w:r>
    </w:p>
    <w:p w:rsidR="00754479" w:rsidRPr="00754479" w:rsidRDefault="00754479" w:rsidP="00754479">
      <w:pPr>
        <w:rPr>
          <w:bCs/>
          <w:szCs w:val="20"/>
          <w:lang w:val="es-CO"/>
        </w:rPr>
      </w:pPr>
      <w:r w:rsidRPr="00754479">
        <w:rPr>
          <w:bCs/>
          <w:szCs w:val="20"/>
          <w:lang w:val="es-CO"/>
        </w:rPr>
        <w:t>12. De conformidad con el artículo 2.2.4.2.10.7. del Decreto 1166 de 2020, la administración y fiscalización del impuesto nacional con destino al turismo como inversión social comprende:</w:t>
      </w:r>
    </w:p>
    <w:p w:rsidR="00754479" w:rsidRPr="00754479" w:rsidRDefault="00754479" w:rsidP="00754479">
      <w:pPr>
        <w:rPr>
          <w:bCs/>
          <w:szCs w:val="20"/>
          <w:lang w:val="es-CO"/>
        </w:rPr>
      </w:pPr>
      <w:r w:rsidRPr="00754479">
        <w:rPr>
          <w:bCs/>
          <w:szCs w:val="20"/>
          <w:lang w:val="es-CO"/>
        </w:rPr>
        <w:t> </w:t>
      </w:r>
    </w:p>
    <w:p w:rsidR="00754479" w:rsidRPr="00754479" w:rsidRDefault="00754479" w:rsidP="00754479">
      <w:pPr>
        <w:rPr>
          <w:bCs/>
          <w:szCs w:val="20"/>
          <w:lang w:val="es-CO"/>
        </w:rPr>
      </w:pPr>
      <w:r w:rsidRPr="00754479">
        <w:rPr>
          <w:bCs/>
          <w:i/>
          <w:iCs/>
          <w:szCs w:val="20"/>
          <w:lang w:val="es-CO"/>
        </w:rPr>
        <w:t>“Artículo 2.2.4.2.10.7. Administración y fiscalización del impuesto nacional con destino al turismo como inversión social. La Dirección de Impuestos y Aduanas Nacionales - DIAN estará a cargo de la administración y fiscalización del impuesto nacional con destino al turismo como inversión social. En uso de sus facultades, podrá verificar la información reportada, requerir, liquidar oficialmente y determinar la deuda, cuando las empresas de transporte aéreo de pasajeros no cumplan con el deber de cobro y transferencia oportuna del impuesto nacional con destino al turismo como inversión social.</w:t>
      </w:r>
    </w:p>
    <w:p w:rsidR="00754479" w:rsidRPr="00754479" w:rsidRDefault="00754479" w:rsidP="00754479">
      <w:pPr>
        <w:rPr>
          <w:bCs/>
          <w:szCs w:val="20"/>
          <w:lang w:val="es-CO"/>
        </w:rPr>
      </w:pPr>
      <w:r w:rsidRPr="00754479">
        <w:rPr>
          <w:bCs/>
          <w:szCs w:val="20"/>
          <w:lang w:val="es-CO"/>
        </w:rPr>
        <w:t> </w:t>
      </w:r>
    </w:p>
    <w:p w:rsidR="00754479" w:rsidRPr="00754479" w:rsidRDefault="00754479" w:rsidP="00754479">
      <w:pPr>
        <w:rPr>
          <w:bCs/>
          <w:szCs w:val="20"/>
          <w:lang w:val="es-CO"/>
        </w:rPr>
      </w:pPr>
      <w:r w:rsidRPr="00754479">
        <w:rPr>
          <w:bCs/>
          <w:i/>
          <w:iCs/>
          <w:szCs w:val="20"/>
          <w:lang w:val="es-CO"/>
        </w:rPr>
        <w:t>Parágrafo. La administración del impuesto nacional con destino al turismo como inversión social incluye su fiscalización, liquidación, discusión, cobro, devolución, sanción y todos los demás aspectos relacionados con el cumplimiento de las obligaciones tributarias</w:t>
      </w:r>
      <w:proofErr w:type="gramStart"/>
      <w:r w:rsidRPr="00754479">
        <w:rPr>
          <w:bCs/>
          <w:i/>
          <w:iCs/>
          <w:szCs w:val="20"/>
          <w:lang w:val="es-CO"/>
        </w:rPr>
        <w:t>. ”</w:t>
      </w:r>
      <w:proofErr w:type="gramEnd"/>
    </w:p>
    <w:p w:rsidR="00754479" w:rsidRPr="00754479" w:rsidRDefault="00754479" w:rsidP="00754479">
      <w:pPr>
        <w:rPr>
          <w:bCs/>
          <w:szCs w:val="20"/>
          <w:lang w:val="es-CO"/>
        </w:rPr>
      </w:pPr>
      <w:r w:rsidRPr="00754479">
        <w:rPr>
          <w:bCs/>
          <w:szCs w:val="20"/>
          <w:lang w:val="es-CO"/>
        </w:rPr>
        <w:t> </w:t>
      </w:r>
    </w:p>
    <w:p w:rsidR="00754479" w:rsidRPr="00754479" w:rsidRDefault="00754479" w:rsidP="00754479">
      <w:pPr>
        <w:rPr>
          <w:bCs/>
          <w:szCs w:val="20"/>
          <w:lang w:val="es-CO"/>
        </w:rPr>
      </w:pPr>
      <w:r w:rsidRPr="00754479">
        <w:rPr>
          <w:bCs/>
          <w:szCs w:val="20"/>
          <w:lang w:val="es-CO"/>
        </w:rPr>
        <w:t>13. El alcance jurídico de dicha atribución implica que la DIAN conserva las competencias propias de su función de administración tributaria, tales como: la fiscalización, orientada a verificar el cumplimiento de las obligaciones tributarias; la determinación del tributo, mediante la expedición de los actos administrativos cuando se presenten inconsistencias o inexactitudes en las declaraciones; el cobro coactivo, respecto de las deudas exigibles que se deriven del impuesto, en la medida en que la declaración tributaria presta mérito ejecutivo conforme al </w:t>
      </w:r>
      <w:hyperlink r:id="rId16" w:tooltip="Estatuto Tributario CETA" w:history="1">
        <w:r w:rsidRPr="00754479">
          <w:rPr>
            <w:rStyle w:val="Hipervnculo"/>
            <w:bCs/>
            <w:szCs w:val="20"/>
            <w:lang w:val="es-CO"/>
          </w:rPr>
          <w:t>artículo 828</w:t>
        </w:r>
      </w:hyperlink>
      <w:r w:rsidRPr="00754479">
        <w:rPr>
          <w:bCs/>
          <w:szCs w:val="20"/>
          <w:lang w:val="es-CO"/>
        </w:rPr>
        <w:t> del Estatuto Tributario; y la imposición de sanciones, en caso de infracción a las normas tributarias conforme a las reglas generales el Estatuto Tributario.</w:t>
      </w:r>
    </w:p>
    <w:p w:rsidR="00754479" w:rsidRPr="00754479" w:rsidRDefault="00754479" w:rsidP="00754479">
      <w:pPr>
        <w:rPr>
          <w:bCs/>
          <w:szCs w:val="20"/>
          <w:lang w:val="es-CO"/>
        </w:rPr>
      </w:pPr>
      <w:r w:rsidRPr="00754479">
        <w:rPr>
          <w:bCs/>
          <w:szCs w:val="20"/>
          <w:lang w:val="es-CO"/>
        </w:rPr>
        <w:t> </w:t>
      </w:r>
    </w:p>
    <w:p w:rsidR="00754479" w:rsidRPr="00754479" w:rsidRDefault="00754479" w:rsidP="00754479">
      <w:pPr>
        <w:rPr>
          <w:bCs/>
          <w:szCs w:val="20"/>
          <w:lang w:val="es-CO"/>
        </w:rPr>
      </w:pPr>
      <w:r w:rsidRPr="00754479">
        <w:rPr>
          <w:bCs/>
          <w:szCs w:val="20"/>
          <w:lang w:val="es-CO"/>
        </w:rPr>
        <w:t>14. En consecuencia, el alcance jurídico de la atribución conferida a la DIAN no implica la recepción ni custodia de los recursos del impuesto, sino la gestión tributaria integral del mismo, conforme al marco normativo aplicable y en coordinación con el Ministerio de Comercio, Industria y Turismo y el Fondo Nacional de Turismo.</w:t>
      </w:r>
    </w:p>
    <w:p w:rsidR="00754479" w:rsidRPr="00754479" w:rsidRDefault="00754479" w:rsidP="00754479">
      <w:pPr>
        <w:rPr>
          <w:bCs/>
          <w:szCs w:val="20"/>
          <w:lang w:val="es-CO"/>
        </w:rPr>
      </w:pPr>
      <w:r w:rsidRPr="00754479">
        <w:rPr>
          <w:bCs/>
          <w:szCs w:val="20"/>
          <w:lang w:val="es-CO"/>
        </w:rPr>
        <w:t> </w:t>
      </w:r>
    </w:p>
    <w:p w:rsidR="00754479" w:rsidRPr="00754479" w:rsidRDefault="00754479" w:rsidP="00754479">
      <w:pPr>
        <w:rPr>
          <w:bCs/>
          <w:szCs w:val="20"/>
          <w:lang w:val="es-CO"/>
        </w:rPr>
      </w:pPr>
      <w:r w:rsidRPr="00754479">
        <w:rPr>
          <w:b/>
          <w:bCs/>
          <w:szCs w:val="20"/>
          <w:lang w:val="es-CO"/>
        </w:rPr>
        <w:t>D. ¿La copia de la declaración del Impuesto Nacional con Destino al Turismo como Inversión Social es un documento idóneo para efectuar la fiscalización y el cobro de la obligación?</w:t>
      </w:r>
    </w:p>
    <w:p w:rsidR="00754479" w:rsidRPr="00754479" w:rsidRDefault="00754479" w:rsidP="00754479">
      <w:pPr>
        <w:rPr>
          <w:bCs/>
          <w:szCs w:val="20"/>
          <w:lang w:val="es-CO"/>
        </w:rPr>
      </w:pPr>
      <w:r w:rsidRPr="00754479">
        <w:rPr>
          <w:bCs/>
          <w:szCs w:val="20"/>
          <w:lang w:val="es-CO"/>
        </w:rPr>
        <w:t> </w:t>
      </w:r>
    </w:p>
    <w:p w:rsidR="00754479" w:rsidRPr="00754479" w:rsidRDefault="00754479" w:rsidP="00754479">
      <w:pPr>
        <w:rPr>
          <w:bCs/>
          <w:szCs w:val="20"/>
          <w:lang w:val="es-CO"/>
        </w:rPr>
      </w:pPr>
      <w:r w:rsidRPr="00754479">
        <w:rPr>
          <w:bCs/>
          <w:szCs w:val="20"/>
          <w:lang w:val="es-CO"/>
        </w:rPr>
        <w:t>15. Tal y como lo establece la Circular 014 del 30 de marzo de 2020, las empresas que presten el servicio de transporte aéreo del tráfico internacional de pasajeros deberán presentar ante el administrador del Fondo Nacional de Turismo el formato original de la declaración del impuesto nacional con destino al turismo como inversión social debidamente diligenciado, y con la información allí consignada, la Dirección de Impuestos y Aduanas Nacionales podrá efectuar las labores de fiscalización, determinación y cobro de la obligación tributaria.</w:t>
      </w:r>
    </w:p>
    <w:p w:rsidR="00754479" w:rsidRPr="00754479" w:rsidRDefault="00754479" w:rsidP="00754479">
      <w:pPr>
        <w:rPr>
          <w:bCs/>
          <w:szCs w:val="20"/>
          <w:lang w:val="es-CO"/>
        </w:rPr>
      </w:pPr>
      <w:r w:rsidRPr="00754479">
        <w:rPr>
          <w:bCs/>
          <w:szCs w:val="20"/>
          <w:lang w:val="es-CO"/>
        </w:rPr>
        <w:t> </w:t>
      </w:r>
    </w:p>
    <w:p w:rsidR="00754479" w:rsidRPr="00754479" w:rsidRDefault="00754479" w:rsidP="00754479">
      <w:pPr>
        <w:rPr>
          <w:bCs/>
          <w:szCs w:val="20"/>
          <w:lang w:val="es-CO"/>
        </w:rPr>
      </w:pPr>
      <w:r w:rsidRPr="00754479">
        <w:rPr>
          <w:bCs/>
          <w:szCs w:val="20"/>
          <w:lang w:val="es-CO"/>
        </w:rPr>
        <w:t>16. En los anteriores términos se absuelve su petición y se recuerda que la normativa, jurisprudencia y doctrina en materia tributaria, aduanera y de fiscalización cambiaria, en lo de competencia de esta Entidad, puede consultarse en el normograma DIAN: </w:t>
      </w:r>
      <w:hyperlink r:id="rId17" w:tgtFrame="_blank" w:history="1">
        <w:r w:rsidRPr="00754479">
          <w:rPr>
            <w:rStyle w:val="Hipervnculo"/>
            <w:bCs/>
            <w:szCs w:val="20"/>
            <w:lang w:val="es-CO"/>
          </w:rPr>
          <w:t>https://normograma.dian.gov.co/dian/</w:t>
        </w:r>
      </w:hyperlink>
      <w:r w:rsidRPr="00754479">
        <w:rPr>
          <w:bCs/>
          <w:szCs w:val="20"/>
          <w:lang w:val="es-CO"/>
        </w:rPr>
        <w:t>.</w:t>
      </w:r>
    </w:p>
    <w:p w:rsidR="00754479" w:rsidRPr="00754479" w:rsidRDefault="00754479" w:rsidP="00754479">
      <w:pPr>
        <w:rPr>
          <w:bCs/>
          <w:szCs w:val="20"/>
          <w:lang w:val="es-CO"/>
        </w:rPr>
      </w:pPr>
      <w:r w:rsidRPr="00754479">
        <w:rPr>
          <w:bCs/>
          <w:szCs w:val="20"/>
          <w:lang w:val="es-CO"/>
        </w:rPr>
        <w:t> </w:t>
      </w:r>
    </w:p>
    <w:p w:rsidR="00754479" w:rsidRPr="00754479" w:rsidRDefault="00754479" w:rsidP="00754479">
      <w:pPr>
        <w:rPr>
          <w:bCs/>
          <w:szCs w:val="20"/>
          <w:lang w:val="es-CO"/>
        </w:rPr>
      </w:pPr>
      <w:r w:rsidRPr="00754479">
        <w:rPr>
          <w:bCs/>
          <w:szCs w:val="20"/>
          <w:lang w:val="es-CO"/>
        </w:rPr>
        <w:t>Atentamente,</w:t>
      </w:r>
    </w:p>
    <w:p w:rsidR="00754479" w:rsidRPr="00754479" w:rsidRDefault="00754479" w:rsidP="00754479">
      <w:pPr>
        <w:rPr>
          <w:bCs/>
          <w:szCs w:val="20"/>
          <w:lang w:val="es-CO"/>
        </w:rPr>
      </w:pPr>
      <w:r w:rsidRPr="00754479">
        <w:rPr>
          <w:bCs/>
          <w:szCs w:val="20"/>
          <w:lang w:val="es-CO"/>
        </w:rPr>
        <w:t> </w:t>
      </w:r>
    </w:p>
    <w:p w:rsidR="00754479" w:rsidRPr="00754479" w:rsidRDefault="00754479" w:rsidP="00754479">
      <w:pPr>
        <w:rPr>
          <w:bCs/>
          <w:szCs w:val="20"/>
          <w:lang w:val="es-CO"/>
        </w:rPr>
      </w:pPr>
      <w:r w:rsidRPr="00754479">
        <w:rPr>
          <w:bCs/>
          <w:szCs w:val="20"/>
          <w:lang w:val="es-CO"/>
        </w:rPr>
        <w:t> </w:t>
      </w:r>
    </w:p>
    <w:p w:rsidR="00754479" w:rsidRPr="00754479" w:rsidRDefault="00754479" w:rsidP="00754479">
      <w:pPr>
        <w:rPr>
          <w:bCs/>
          <w:szCs w:val="20"/>
          <w:lang w:val="es-CO"/>
        </w:rPr>
      </w:pPr>
      <w:r w:rsidRPr="00754479">
        <w:rPr>
          <w:b/>
          <w:bCs/>
          <w:szCs w:val="20"/>
          <w:lang w:val="es-CO"/>
        </w:rPr>
        <w:t>INGRID CASTAÑEDA CEPEDA</w:t>
      </w:r>
    </w:p>
    <w:p w:rsidR="00754479" w:rsidRPr="00754479" w:rsidRDefault="00754479" w:rsidP="00754479">
      <w:pPr>
        <w:rPr>
          <w:bCs/>
          <w:szCs w:val="20"/>
          <w:lang w:val="es-CO"/>
        </w:rPr>
      </w:pPr>
      <w:r w:rsidRPr="00754479">
        <w:rPr>
          <w:bCs/>
          <w:szCs w:val="20"/>
          <w:lang w:val="es-CO"/>
        </w:rPr>
        <w:t>Subdirectora de Normativa y Doctrina (A)</w:t>
      </w:r>
    </w:p>
    <w:p w:rsidR="00754479" w:rsidRPr="00754479" w:rsidRDefault="00754479" w:rsidP="00754479">
      <w:pPr>
        <w:rPr>
          <w:bCs/>
          <w:szCs w:val="20"/>
          <w:lang w:val="es-CO"/>
        </w:rPr>
      </w:pPr>
      <w:r w:rsidRPr="00754479">
        <w:rPr>
          <w:bCs/>
          <w:szCs w:val="20"/>
          <w:lang w:val="es-CO"/>
        </w:rPr>
        <w:t>Dirección de Gestión Jurídica</w:t>
      </w:r>
    </w:p>
    <w:p w:rsidR="00754479" w:rsidRPr="00754479" w:rsidRDefault="00754479" w:rsidP="00754479">
      <w:pPr>
        <w:rPr>
          <w:bCs/>
          <w:szCs w:val="20"/>
          <w:lang w:val="es-CO"/>
        </w:rPr>
      </w:pPr>
      <w:r w:rsidRPr="00754479">
        <w:rPr>
          <w:bCs/>
          <w:szCs w:val="20"/>
          <w:lang w:val="es-CO"/>
        </w:rPr>
        <w:t> </w:t>
      </w:r>
    </w:p>
    <w:p w:rsidR="00581B70" w:rsidRPr="00581B70" w:rsidRDefault="00581B70" w:rsidP="00754479">
      <w:pPr>
        <w:jc w:val="both"/>
        <w:rPr>
          <w:b/>
          <w:sz w:val="22"/>
          <w:szCs w:val="22"/>
          <w:lang w:val="es-CO"/>
        </w:rPr>
      </w:pPr>
    </w:p>
    <w:sectPr w:rsidR="00581B70" w:rsidRPr="00581B70" w:rsidSect="00FD41C8">
      <w:headerReference w:type="default" r:id="rId18"/>
      <w:footerReference w:type="default" r:id="rId19"/>
      <w:headerReference w:type="first" r:id="rId20"/>
      <w:footerReference w:type="first" r:id="rId21"/>
      <w:pgSz w:w="12242" w:h="15842" w:code="1"/>
      <w:pgMar w:top="2224" w:right="1701" w:bottom="1418" w:left="1701" w:header="709" w:footer="4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7638" w:rsidRDefault="00F57638">
      <w:r>
        <w:separator/>
      </w:r>
    </w:p>
  </w:endnote>
  <w:endnote w:type="continuationSeparator" w:id="0">
    <w:p w:rsidR="00F57638" w:rsidRDefault="00F57638">
      <w:r>
        <w:continuationSeparator/>
      </w:r>
    </w:p>
  </w:endnote>
  <w:endnote w:type="continuationNotice" w:id="1">
    <w:p w:rsidR="00F57638" w:rsidRDefault="00F576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C1C" w:rsidRPr="000D3031" w:rsidRDefault="00633809" w:rsidP="00FE6B3C">
    <w:pPr>
      <w:pStyle w:val="Piedepgina"/>
    </w:pPr>
    <w:r>
      <w:rPr>
        <w:noProof/>
        <w:lang w:val="es-CO" w:eastAsia="es-CO"/>
      </w:rPr>
      <mc:AlternateContent>
        <mc:Choice Requires="wps">
          <w:drawing>
            <wp:anchor distT="0" distB="0" distL="114300" distR="114300" simplePos="0" relativeHeight="251665408" behindDoc="0" locked="0" layoutInCell="0" allowOverlap="1" wp14:anchorId="69106A3B" wp14:editId="75DA1F5C">
              <wp:simplePos x="0" y="0"/>
              <wp:positionH relativeFrom="page">
                <wp:posOffset>0</wp:posOffset>
              </wp:positionH>
              <wp:positionV relativeFrom="page">
                <wp:posOffset>9595485</wp:posOffset>
              </wp:positionV>
              <wp:extent cx="7773670" cy="273050"/>
              <wp:effectExtent l="0" t="0" r="0" b="12700"/>
              <wp:wrapNone/>
              <wp:docPr id="4" name="MSIPCM6be94d77a14d2f10c2bf8e0e" descr="{&quot;HashCode&quot;:-143158734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33809" w:rsidRPr="00633809" w:rsidRDefault="00633809" w:rsidP="00633809">
                          <w:pPr>
                            <w:jc w:val="center"/>
                            <w:rPr>
                              <w:rFonts w:ascii="Calibri" w:hAnsi="Calibri" w:cs="Calibri"/>
                              <w:color w:val="000000"/>
                              <w:sz w:val="16"/>
                            </w:rPr>
                          </w:pPr>
                          <w:proofErr w:type="spellStart"/>
                          <w:r w:rsidRPr="00633809">
                            <w:rPr>
                              <w:rFonts w:ascii="Calibri" w:hAnsi="Calibri" w:cs="Calibri"/>
                              <w:color w:val="000000"/>
                              <w:sz w:val="16"/>
                            </w:rPr>
                            <w:t>Información</w:t>
                          </w:r>
                          <w:proofErr w:type="spellEnd"/>
                          <w:r w:rsidRPr="00633809">
                            <w:rPr>
                              <w:rFonts w:ascii="Calibri" w:hAnsi="Calibri" w:cs="Calibri"/>
                              <w:color w:val="000000"/>
                              <w:sz w:val="16"/>
                            </w:rPr>
                            <w:t xml:space="preserve"> Interna</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9106A3B" id="_x0000_t202" coordsize="21600,21600" o:spt="202" path="m,l,21600r21600,l21600,xe">
              <v:stroke joinstyle="miter"/>
              <v:path gradientshapeok="t" o:connecttype="rect"/>
            </v:shapetype>
            <v:shape id="MSIPCM6be94d77a14d2f10c2bf8e0e" o:spid="_x0000_s1027" type="#_x0000_t202" alt="{&quot;HashCode&quot;:-1431587343,&quot;Height&quot;:792.0,&quot;Width&quot;:612.0,&quot;Placement&quot;:&quot;Footer&quot;,&quot;Index&quot;:&quot;Primary&quot;,&quot;Section&quot;:1,&quot;Top&quot;:0.0,&quot;Left&quot;:0.0}" style="position:absolute;margin-left:0;margin-top:755.55pt;width:612.1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" o:allowincell="f" filled="f" stroked="f" strokeweight=".5pt">
              <v:textbox inset=",0,,0">
                <w:txbxContent>
                  <w:p w:rsidR="00633809" w:rsidRPr="00633809" w:rsidRDefault="00633809" w:rsidP="00633809">
                    <w:pPr>
                      <w:jc w:val="center"/>
                      <w:rPr>
                        <w:rFonts w:ascii="Calibri" w:hAnsi="Calibri" w:cs="Calibri"/>
                        <w:color w:val="000000"/>
                        <w:sz w:val="16"/>
                      </w:rPr>
                    </w:pPr>
                    <w:proofErr w:type="spellStart"/>
                    <w:r w:rsidRPr="00633809">
                      <w:rPr>
                        <w:rFonts w:ascii="Calibri" w:hAnsi="Calibri" w:cs="Calibri"/>
                        <w:color w:val="000000"/>
                        <w:sz w:val="16"/>
                      </w:rPr>
                      <w:t>Información</w:t>
                    </w:r>
                    <w:proofErr w:type="spellEnd"/>
                    <w:r w:rsidRPr="00633809">
                      <w:rPr>
                        <w:rFonts w:ascii="Calibri" w:hAnsi="Calibri" w:cs="Calibri"/>
                        <w:color w:val="000000"/>
                        <w:sz w:val="16"/>
                      </w:rPr>
                      <w:t xml:space="preserve"> Interna</w:t>
                    </w:r>
                  </w:p>
                </w:txbxContent>
              </v:textbox>
              <w10:wrap anchorx="page" anchory="page"/>
            </v:shape>
          </w:pict>
        </mc:Fallback>
      </mc:AlternateContent>
    </w:r>
    <w:r w:rsidR="00D447DC">
      <w:rPr>
        <w:noProof/>
        <w:lang w:val="es-CO" w:eastAsia="es-CO"/>
      </w:rPr>
      <mc:AlternateContent>
        <mc:Choice Requires="wps">
          <w:drawing>
            <wp:anchor distT="0" distB="0" distL="114300" distR="114300" simplePos="0" relativeHeight="251661312" behindDoc="0" locked="0" layoutInCell="1" allowOverlap="1" wp14:anchorId="205162C0" wp14:editId="1BA8F26C">
              <wp:simplePos x="0" y="0"/>
              <wp:positionH relativeFrom="margin">
                <wp:align>right</wp:align>
              </wp:positionH>
              <wp:positionV relativeFrom="page">
                <wp:posOffset>9453131</wp:posOffset>
              </wp:positionV>
              <wp:extent cx="968022" cy="332176"/>
              <wp:effectExtent l="0" t="0" r="3810" b="10795"/>
              <wp:wrapNone/>
              <wp:docPr id="6" name="5 Cuadro de texto"/>
              <wp:cNvGraphicFramePr/>
              <a:graphic xmlns:a="http://schemas.openxmlformats.org/drawingml/2006/main">
                <a:graphicData uri="http://schemas.microsoft.com/office/word/2010/wordprocessingShape">
                  <wps:wsp>
                    <wps:cNvSpPr txBox="1"/>
                    <wps:spPr>
                      <a:xfrm>
                        <a:off x="0" y="0"/>
                        <a:ext cx="968022" cy="3321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101D5" w:rsidRPr="00167394" w:rsidRDefault="00F101D5" w:rsidP="007949CC">
                          <w:pPr>
                            <w:jc w:val="right"/>
                            <w:rPr>
                              <w:color w:val="333333"/>
                              <w:sz w:val="6"/>
                              <w:szCs w:val="6"/>
                              <w:lang w:val="es-CO"/>
                            </w:rPr>
                          </w:pPr>
                          <w:r w:rsidRPr="00167394">
                            <w:rPr>
                              <w:color w:val="333333"/>
                              <w:sz w:val="6"/>
                              <w:szCs w:val="6"/>
                              <w:lang w:val="es-CO"/>
                            </w:rPr>
                            <w:t>BDO ASEGURAMIENTO SAS Nit 900833799</w:t>
                          </w:r>
                        </w:p>
                        <w:p w:rsidR="00F101D5" w:rsidRPr="00167394" w:rsidRDefault="00F101D5" w:rsidP="007949CC">
                          <w:pPr>
                            <w:jc w:val="right"/>
                            <w:rPr>
                              <w:color w:val="333333"/>
                              <w:sz w:val="6"/>
                              <w:szCs w:val="6"/>
                              <w:lang w:val="es-CO"/>
                            </w:rPr>
                          </w:pPr>
                          <w:r w:rsidRPr="00167394">
                            <w:rPr>
                              <w:color w:val="333333"/>
                              <w:sz w:val="6"/>
                              <w:szCs w:val="6"/>
                              <w:lang w:val="es-CO"/>
                            </w:rPr>
                            <w:t>BDO ASSURANCE SAS Nit 901039504</w:t>
                          </w:r>
                        </w:p>
                        <w:p w:rsidR="00F101D5" w:rsidRPr="00167394" w:rsidRDefault="00F101D5" w:rsidP="007949CC">
                          <w:pPr>
                            <w:jc w:val="right"/>
                            <w:rPr>
                              <w:color w:val="333333"/>
                              <w:sz w:val="6"/>
                              <w:szCs w:val="6"/>
                              <w:lang w:val="es-CO"/>
                            </w:rPr>
                          </w:pPr>
                          <w:r w:rsidRPr="00167394">
                            <w:rPr>
                              <w:color w:val="333333"/>
                              <w:sz w:val="6"/>
                              <w:szCs w:val="6"/>
                              <w:lang w:val="es-CO"/>
                            </w:rPr>
                            <w:t>BDO AUDIT SA Nit 860600063</w:t>
                          </w:r>
                        </w:p>
                        <w:p w:rsidR="00F101D5" w:rsidRPr="00167394" w:rsidRDefault="00F101D5" w:rsidP="007949CC">
                          <w:pPr>
                            <w:jc w:val="right"/>
                            <w:rPr>
                              <w:color w:val="333333"/>
                              <w:sz w:val="6"/>
                              <w:szCs w:val="6"/>
                              <w:lang w:val="es-CO"/>
                            </w:rPr>
                          </w:pPr>
                          <w:r w:rsidRPr="00167394">
                            <w:rPr>
                              <w:color w:val="333333"/>
                              <w:sz w:val="6"/>
                              <w:szCs w:val="6"/>
                              <w:lang w:val="es-CO"/>
                            </w:rPr>
                            <w:t>BDO COLOMBIA SAS Nit 830053527</w:t>
                          </w:r>
                        </w:p>
                        <w:p w:rsidR="00F101D5" w:rsidRPr="00F101D5" w:rsidRDefault="00F101D5" w:rsidP="007949CC">
                          <w:pPr>
                            <w:jc w:val="right"/>
                            <w:rPr>
                              <w:color w:val="333333"/>
                              <w:sz w:val="6"/>
                              <w:szCs w:val="6"/>
                            </w:rPr>
                          </w:pPr>
                          <w:r w:rsidRPr="00F101D5">
                            <w:rPr>
                              <w:color w:val="333333"/>
                              <w:sz w:val="6"/>
                              <w:szCs w:val="6"/>
                            </w:rPr>
                            <w:t>BDO OUTSORCING SAS Nit 830065829</w:t>
                          </w:r>
                        </w:p>
                        <w:p w:rsidR="00F101D5" w:rsidRPr="00F101D5" w:rsidRDefault="00F101D5" w:rsidP="007949CC">
                          <w:pPr>
                            <w:jc w:val="right"/>
                            <w:rPr>
                              <w:color w:val="333333"/>
                              <w:sz w:val="6"/>
                              <w:szCs w:val="6"/>
                            </w:rPr>
                          </w:pPr>
                          <w:r w:rsidRPr="00F101D5">
                            <w:rPr>
                              <w:color w:val="333333"/>
                              <w:sz w:val="6"/>
                              <w:szCs w:val="6"/>
                            </w:rPr>
                            <w:t>BDO SSC SAS Nit 901423790</w:t>
                          </w:r>
                        </w:p>
                        <w:p w:rsidR="00D60046" w:rsidRPr="00F101D5" w:rsidRDefault="00D60046" w:rsidP="00F101D5">
                          <w:pPr>
                            <w:pStyle w:val="Prrafodelista"/>
                            <w:jc w:val="center"/>
                            <w:rPr>
                              <w:color w:val="333333"/>
                              <w:sz w:val="6"/>
                              <w:szCs w:val="6"/>
                              <w:lang w:val="it-IT"/>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162C0" id="5 Cuadro de texto" o:spid="_x0000_s1028" type="#_x0000_t202" style="position:absolute;margin-left:25pt;margin-top:744.35pt;width:76.2pt;height:26.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" filled="f" stroked="f" strokeweight=".5pt">
              <v:textbox inset="0,0,0,0">
                <w:txbxContent>
                  <w:p w:rsidR="00F101D5" w:rsidRPr="00167394" w:rsidRDefault="00F101D5" w:rsidP="007949CC">
                    <w:pPr>
                      <w:jc w:val="right"/>
                      <w:rPr>
                        <w:color w:val="333333"/>
                        <w:sz w:val="6"/>
                        <w:szCs w:val="6"/>
                        <w:lang w:val="es-CO"/>
                      </w:rPr>
                    </w:pPr>
                    <w:r w:rsidRPr="00167394">
                      <w:rPr>
                        <w:color w:val="333333"/>
                        <w:sz w:val="6"/>
                        <w:szCs w:val="6"/>
                        <w:lang w:val="es-CO"/>
                      </w:rPr>
                      <w:t>BDO ASEGURAMIENTO SAS Nit 900833799</w:t>
                    </w:r>
                  </w:p>
                  <w:p w:rsidR="00F101D5" w:rsidRPr="00167394" w:rsidRDefault="00F101D5" w:rsidP="007949CC">
                    <w:pPr>
                      <w:jc w:val="right"/>
                      <w:rPr>
                        <w:color w:val="333333"/>
                        <w:sz w:val="6"/>
                        <w:szCs w:val="6"/>
                        <w:lang w:val="es-CO"/>
                      </w:rPr>
                    </w:pPr>
                    <w:r w:rsidRPr="00167394">
                      <w:rPr>
                        <w:color w:val="333333"/>
                        <w:sz w:val="6"/>
                        <w:szCs w:val="6"/>
                        <w:lang w:val="es-CO"/>
                      </w:rPr>
                      <w:t>BDO ASSURANCE SAS Nit 901039504</w:t>
                    </w:r>
                  </w:p>
                  <w:p w:rsidR="00F101D5" w:rsidRPr="00167394" w:rsidRDefault="00F101D5" w:rsidP="007949CC">
                    <w:pPr>
                      <w:jc w:val="right"/>
                      <w:rPr>
                        <w:color w:val="333333"/>
                        <w:sz w:val="6"/>
                        <w:szCs w:val="6"/>
                        <w:lang w:val="es-CO"/>
                      </w:rPr>
                    </w:pPr>
                    <w:r w:rsidRPr="00167394">
                      <w:rPr>
                        <w:color w:val="333333"/>
                        <w:sz w:val="6"/>
                        <w:szCs w:val="6"/>
                        <w:lang w:val="es-CO"/>
                      </w:rPr>
                      <w:t>BDO AUDIT SA Nit 860600063</w:t>
                    </w:r>
                  </w:p>
                  <w:p w:rsidR="00F101D5" w:rsidRPr="00167394" w:rsidRDefault="00F101D5" w:rsidP="007949CC">
                    <w:pPr>
                      <w:jc w:val="right"/>
                      <w:rPr>
                        <w:color w:val="333333"/>
                        <w:sz w:val="6"/>
                        <w:szCs w:val="6"/>
                        <w:lang w:val="es-CO"/>
                      </w:rPr>
                    </w:pPr>
                    <w:r w:rsidRPr="00167394">
                      <w:rPr>
                        <w:color w:val="333333"/>
                        <w:sz w:val="6"/>
                        <w:szCs w:val="6"/>
                        <w:lang w:val="es-CO"/>
                      </w:rPr>
                      <w:t>BDO COLOMBIA SAS Nit 830053527</w:t>
                    </w:r>
                  </w:p>
                  <w:p w:rsidR="00F101D5" w:rsidRPr="00F101D5" w:rsidRDefault="00F101D5" w:rsidP="007949CC">
                    <w:pPr>
                      <w:jc w:val="right"/>
                      <w:rPr>
                        <w:color w:val="333333"/>
                        <w:sz w:val="6"/>
                        <w:szCs w:val="6"/>
                      </w:rPr>
                    </w:pPr>
                    <w:r w:rsidRPr="00F101D5">
                      <w:rPr>
                        <w:color w:val="333333"/>
                        <w:sz w:val="6"/>
                        <w:szCs w:val="6"/>
                      </w:rPr>
                      <w:t>BDO OUTSORCING SAS Nit 830065829</w:t>
                    </w:r>
                  </w:p>
                  <w:p w:rsidR="00F101D5" w:rsidRPr="00F101D5" w:rsidRDefault="00F101D5" w:rsidP="007949CC">
                    <w:pPr>
                      <w:jc w:val="right"/>
                      <w:rPr>
                        <w:color w:val="333333"/>
                        <w:sz w:val="6"/>
                        <w:szCs w:val="6"/>
                      </w:rPr>
                    </w:pPr>
                    <w:r w:rsidRPr="00F101D5">
                      <w:rPr>
                        <w:color w:val="333333"/>
                        <w:sz w:val="6"/>
                        <w:szCs w:val="6"/>
                      </w:rPr>
                      <w:t>BDO SSC SAS Nit 901423790</w:t>
                    </w:r>
                  </w:p>
                  <w:p w:rsidR="00D60046" w:rsidRPr="00F101D5" w:rsidRDefault="00D60046" w:rsidP="00F101D5">
                    <w:pPr>
                      <w:pStyle w:val="Prrafodelista"/>
                      <w:jc w:val="center"/>
                      <w:rPr>
                        <w:color w:val="333333"/>
                        <w:sz w:val="6"/>
                        <w:szCs w:val="6"/>
                        <w:lang w:val="it-IT"/>
                      </w:rPr>
                    </w:pPr>
                  </w:p>
                </w:txbxContent>
              </v:textbox>
              <w10:wrap anchorx="margin" anchory="page"/>
            </v:shape>
          </w:pict>
        </mc:Fallback>
      </mc:AlternateContent>
    </w:r>
    <w:r w:rsidR="004770F7">
      <w:rPr>
        <w:noProof/>
        <w:lang w:val="es-CO" w:eastAsia="es-CO"/>
      </w:rPr>
      <w:drawing>
        <wp:anchor distT="0" distB="0" distL="114300" distR="114300" simplePos="0" relativeHeight="251663360" behindDoc="0" locked="0" layoutInCell="1" allowOverlap="1" wp14:anchorId="77A90278" wp14:editId="29D09DE5">
          <wp:simplePos x="0" y="0"/>
          <wp:positionH relativeFrom="page">
            <wp:posOffset>6110605</wp:posOffset>
          </wp:positionH>
          <wp:positionV relativeFrom="page">
            <wp:posOffset>8828405</wp:posOffset>
          </wp:positionV>
          <wp:extent cx="603885" cy="591185"/>
          <wp:effectExtent l="0" t="0" r="5715" b="0"/>
          <wp:wrapSquare wrapText="bothSides"/>
          <wp:docPr id="14" name="Imagen 14" descr="C:\Users\BDO\Dropbox\BDO Consulting\Imagen Corporativa\Logo SGS - SGC ISO 9001 - 2013\For Office use\SGS_ISO 9001_TCL_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DO\Dropbox\BDO Consulting\Imagen Corporativa\Logo SGS - SGC ISO 9001 - 2013\For Office use\SGS_ISO 9001_TCL_L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 cy="591185"/>
                  </a:xfrm>
                  <a:prstGeom prst="rect">
                    <a:avLst/>
                  </a:prstGeom>
                  <a:noFill/>
                  <a:ln>
                    <a:noFill/>
                  </a:ln>
                </pic:spPr>
              </pic:pic>
            </a:graphicData>
          </a:graphic>
          <wp14:sizeRelH relativeFrom="page">
            <wp14:pctWidth>0</wp14:pctWidth>
          </wp14:sizeRelH>
          <wp14:sizeRelV relativeFrom="page">
            <wp14:pctHeight>0</wp14:pctHeight>
          </wp14:sizeRelV>
        </wp:anchor>
      </w:drawing>
    </w:r>
    <w:r w:rsidR="004770F7">
      <w:rPr>
        <w:noProof/>
        <w:lang w:val="es-CO" w:eastAsia="es-CO"/>
      </w:rPr>
      <mc:AlternateContent>
        <mc:Choice Requires="wps">
          <w:drawing>
            <wp:anchor distT="0" distB="0" distL="114300" distR="114300" simplePos="0" relativeHeight="251659264" behindDoc="0" locked="1" layoutInCell="1" allowOverlap="1" wp14:anchorId="35ACBA9D" wp14:editId="02B15B0A">
              <wp:simplePos x="0" y="0"/>
              <wp:positionH relativeFrom="margin">
                <wp:posOffset>-133350</wp:posOffset>
              </wp:positionH>
              <wp:positionV relativeFrom="page">
                <wp:posOffset>9203690</wp:posOffset>
              </wp:positionV>
              <wp:extent cx="4953635" cy="371475"/>
              <wp:effectExtent l="0" t="0" r="18415" b="952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635" cy="371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17694" w:type="dxa"/>
                            <w:tblLayout w:type="fixed"/>
                            <w:tblCellMar>
                              <w:left w:w="0" w:type="dxa"/>
                              <w:right w:w="0" w:type="dxa"/>
                            </w:tblCellMar>
                            <w:tblLook w:val="0000" w:firstRow="0" w:lastRow="0" w:firstColumn="0" w:lastColumn="0" w:noHBand="0" w:noVBand="0"/>
                          </w:tblPr>
                          <w:tblGrid>
                            <w:gridCol w:w="7797"/>
                            <w:gridCol w:w="9897"/>
                          </w:tblGrid>
                          <w:tr w:rsidR="004770F7" w:rsidRPr="00754479" w:rsidTr="00D051F5">
                            <w:trPr>
                              <w:trHeight w:val="575"/>
                            </w:trPr>
                            <w:tc>
                              <w:tcPr>
                                <w:tcW w:w="7797" w:type="dxa"/>
                                <w:vAlign w:val="bottom"/>
                              </w:tcPr>
                              <w:p w:rsidR="004770F7" w:rsidRPr="00BE468F" w:rsidRDefault="004770F7" w:rsidP="00CA6948">
                                <w:pPr>
                                  <w:pStyle w:val="BDOFooter"/>
                                  <w:rPr>
                                    <w:lang w:val="it-IT"/>
                                  </w:rPr>
                                </w:pPr>
                                <w:r w:rsidRPr="00F101D5">
                                  <w:rPr>
                                    <w:color w:val="333333"/>
                                    <w:lang w:val="it-IT"/>
                                  </w:rPr>
                                  <w:t>BDO Audit S.A. sociedad anónima colombiana, BDO Outsourcing S.A.S</w:t>
                                </w:r>
                                <w:r w:rsidR="00DB64CC">
                                  <w:rPr>
                                    <w:color w:val="333333"/>
                                    <w:lang w:val="it-IT"/>
                                  </w:rPr>
                                  <w:t xml:space="preserve">, BDO Assurance S.A.S, BDO SSC S.A.S, BDO Aseguramiento S.A.S </w:t>
                                </w:r>
                                <w:r w:rsidRPr="00F101D5">
                                  <w:rPr>
                                    <w:color w:val="333333"/>
                                    <w:lang w:val="it-IT"/>
                                  </w:rPr>
                                  <w:t>y BDO Colombia S.A.S. sociedades por acciones simplificadas colombianas,</w:t>
                                </w:r>
                                <w:r w:rsidR="00DB64CC">
                                  <w:rPr>
                                    <w:color w:val="333333"/>
                                    <w:lang w:val="it-IT"/>
                                  </w:rPr>
                                  <w:t xml:space="preserve"> </w:t>
                                </w:r>
                                <w:r w:rsidRPr="00F101D5">
                                  <w:rPr>
                                    <w:color w:val="333333"/>
                                    <w:lang w:val="it-IT"/>
                                  </w:rPr>
                                  <w:t>miembros de BDO International Limited, una compañía limitada por garantía del Reino Unido, y forman parte de la red internacional BDO de empresas independientes asociadas.</w:t>
                                </w:r>
                              </w:p>
                            </w:tc>
                            <w:tc>
                              <w:tcPr>
                                <w:tcW w:w="9897" w:type="dxa"/>
                              </w:tcPr>
                              <w:p w:rsidR="004770F7" w:rsidRPr="00AA4308" w:rsidRDefault="004770F7" w:rsidP="00D051F5">
                                <w:pPr>
                                  <w:pStyle w:val="BDOFooter"/>
                                  <w:rPr>
                                    <w:lang w:val="it-IT"/>
                                  </w:rPr>
                                </w:pPr>
                              </w:p>
                              <w:p w:rsidR="004770F7" w:rsidRPr="00AA4308" w:rsidRDefault="004770F7" w:rsidP="00F01B72">
                                <w:pPr>
                                  <w:pStyle w:val="BDOFooter"/>
                                  <w:rPr>
                                    <w:lang w:val="it-IT"/>
                                  </w:rPr>
                                </w:pPr>
                              </w:p>
                            </w:tc>
                          </w:tr>
                        </w:tbl>
                        <w:p w:rsidR="004770F7" w:rsidRPr="003A607B" w:rsidRDefault="004770F7" w:rsidP="004770F7">
                          <w:pPr>
                            <w:pStyle w:val="BDONormal"/>
                            <w:rPr>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CBA9D" id="Text Box 8" o:spid="_x0000_s1029" type="#_x0000_t202" style="position:absolute;margin-left:-10.5pt;margin-top:724.7pt;width:390.05pt;height:2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" filled="f" stroked="f">
              <v:textbox inset="0,0,0,0">
                <w:txbxContent>
                  <w:tbl>
                    <w:tblPr>
                      <w:tblW w:w="17694" w:type="dxa"/>
                      <w:tblLayout w:type="fixed"/>
                      <w:tblCellMar>
                        <w:left w:w="0" w:type="dxa"/>
                        <w:right w:w="0" w:type="dxa"/>
                      </w:tblCellMar>
                      <w:tblLook w:val="0000" w:firstRow="0" w:lastRow="0" w:firstColumn="0" w:lastColumn="0" w:noHBand="0" w:noVBand="0"/>
                    </w:tblPr>
                    <w:tblGrid>
                      <w:gridCol w:w="7797"/>
                      <w:gridCol w:w="9897"/>
                    </w:tblGrid>
                    <w:tr w:rsidR="004770F7" w:rsidRPr="00754479" w:rsidTr="00D051F5">
                      <w:trPr>
                        <w:trHeight w:val="575"/>
                      </w:trPr>
                      <w:tc>
                        <w:tcPr>
                          <w:tcW w:w="7797" w:type="dxa"/>
                          <w:vAlign w:val="bottom"/>
                        </w:tcPr>
                        <w:p w:rsidR="004770F7" w:rsidRPr="00BE468F" w:rsidRDefault="004770F7" w:rsidP="00CA6948">
                          <w:pPr>
                            <w:pStyle w:val="BDOFooter"/>
                            <w:rPr>
                              <w:lang w:val="it-IT"/>
                            </w:rPr>
                          </w:pPr>
                          <w:r w:rsidRPr="00F101D5">
                            <w:rPr>
                              <w:color w:val="333333"/>
                              <w:lang w:val="it-IT"/>
                            </w:rPr>
                            <w:t>BDO Audit S.A. sociedad anónima colombiana, BDO Outsourcing S.A.S</w:t>
                          </w:r>
                          <w:r w:rsidR="00DB64CC">
                            <w:rPr>
                              <w:color w:val="333333"/>
                              <w:lang w:val="it-IT"/>
                            </w:rPr>
                            <w:t xml:space="preserve">, BDO Assurance S.A.S, BDO SSC S.A.S, BDO Aseguramiento S.A.S </w:t>
                          </w:r>
                          <w:r w:rsidRPr="00F101D5">
                            <w:rPr>
                              <w:color w:val="333333"/>
                              <w:lang w:val="it-IT"/>
                            </w:rPr>
                            <w:t>y BDO Colombia S.A.S. sociedades por acciones simplificadas colombianas,</w:t>
                          </w:r>
                          <w:r w:rsidR="00DB64CC">
                            <w:rPr>
                              <w:color w:val="333333"/>
                              <w:lang w:val="it-IT"/>
                            </w:rPr>
                            <w:t xml:space="preserve"> </w:t>
                          </w:r>
                          <w:r w:rsidRPr="00F101D5">
                            <w:rPr>
                              <w:color w:val="333333"/>
                              <w:lang w:val="it-IT"/>
                            </w:rPr>
                            <w:t>miembros de BDO International Limited, una compañía limitada por garantía del Reino Unido, y forman parte de la red internacional BDO de empresas independientes asociadas.</w:t>
                          </w:r>
                        </w:p>
                      </w:tc>
                      <w:tc>
                        <w:tcPr>
                          <w:tcW w:w="9897" w:type="dxa"/>
                        </w:tcPr>
                        <w:p w:rsidR="004770F7" w:rsidRPr="00AA4308" w:rsidRDefault="004770F7" w:rsidP="00D051F5">
                          <w:pPr>
                            <w:pStyle w:val="BDOFooter"/>
                            <w:rPr>
                              <w:lang w:val="it-IT"/>
                            </w:rPr>
                          </w:pPr>
                        </w:p>
                        <w:p w:rsidR="004770F7" w:rsidRPr="00AA4308" w:rsidRDefault="004770F7" w:rsidP="00F01B72">
                          <w:pPr>
                            <w:pStyle w:val="BDOFooter"/>
                            <w:rPr>
                              <w:lang w:val="it-IT"/>
                            </w:rPr>
                          </w:pPr>
                        </w:p>
                      </w:tc>
                    </w:tr>
                  </w:tbl>
                  <w:p w:rsidR="004770F7" w:rsidRPr="003A607B" w:rsidRDefault="004770F7" w:rsidP="004770F7">
                    <w:pPr>
                      <w:pStyle w:val="BDONormal"/>
                      <w:rPr>
                        <w:lang w:val="it-IT"/>
                      </w:rPr>
                    </w:pPr>
                  </w:p>
                </w:txbxContent>
              </v:textbox>
              <w10:wrap anchorx="margin" anchory="page"/>
              <w10:anchorlock/>
            </v:shape>
          </w:pict>
        </mc:Fallback>
      </mc:AlternateContent>
    </w:r>
  </w:p>
  <w:p w:rsidR="001A4C1C" w:rsidRDefault="001A4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C1C" w:rsidRDefault="001A4C1C" w:rsidP="000D3031">
    <w:pPr>
      <w:pStyle w:val="Piedepgina"/>
    </w:pPr>
  </w:p>
  <w:p w:rsidR="001A4C1C" w:rsidRDefault="001A4C1C" w:rsidP="000D3031">
    <w:pPr>
      <w:pStyle w:val="Piedepgina"/>
    </w:pPr>
    <w:r>
      <w:rPr>
        <w:noProof/>
        <w:lang w:val="es-CO" w:eastAsia="es-CO"/>
      </w:rPr>
      <w:drawing>
        <wp:anchor distT="0" distB="0" distL="114300" distR="114300" simplePos="0" relativeHeight="251651072" behindDoc="0" locked="0" layoutInCell="1" allowOverlap="1" wp14:anchorId="4BC3FC40" wp14:editId="38B0EF61">
          <wp:simplePos x="0" y="0"/>
          <wp:positionH relativeFrom="page">
            <wp:posOffset>6130925</wp:posOffset>
          </wp:positionH>
          <wp:positionV relativeFrom="page">
            <wp:posOffset>9006726</wp:posOffset>
          </wp:positionV>
          <wp:extent cx="603885" cy="591185"/>
          <wp:effectExtent l="0" t="0" r="5715" b="0"/>
          <wp:wrapSquare wrapText="bothSides"/>
          <wp:docPr id="15" name="Imagen 15" descr="C:\Users\BDO\Dropbox\BDO Consulting\Imagen Corporativa\Logo SGS - SGC ISO 9001 - 2013\For Office use\SGS_ISO 9001_TCL_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DO\Dropbox\BDO Consulting\Imagen Corporativa\Logo SGS - SGC ISO 9001 - 2013\For Office use\SGS_ISO 9001_TCL_L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 cy="591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4C1C" w:rsidRDefault="001A4C1C" w:rsidP="000D3031">
    <w:pPr>
      <w:pStyle w:val="Piedepgina"/>
    </w:pPr>
  </w:p>
  <w:p w:rsidR="001A4C1C" w:rsidRDefault="001A4C1C" w:rsidP="000D3031">
    <w:pPr>
      <w:pStyle w:val="Piedepgina"/>
    </w:pPr>
    <w:r>
      <w:rPr>
        <w:noProof/>
        <w:lang w:val="es-CO" w:eastAsia="es-CO"/>
      </w:rPr>
      <mc:AlternateContent>
        <mc:Choice Requires="wps">
          <w:drawing>
            <wp:anchor distT="0" distB="0" distL="114300" distR="114300" simplePos="0" relativeHeight="251655168" behindDoc="0" locked="0" layoutInCell="1" allowOverlap="1" wp14:anchorId="76DC24B1" wp14:editId="76788CF0">
              <wp:simplePos x="0" y="0"/>
              <wp:positionH relativeFrom="page">
                <wp:posOffset>6037575</wp:posOffset>
              </wp:positionH>
              <wp:positionV relativeFrom="page">
                <wp:posOffset>9601200</wp:posOffset>
              </wp:positionV>
              <wp:extent cx="657084" cy="107964"/>
              <wp:effectExtent l="0" t="0" r="10160" b="6350"/>
              <wp:wrapNone/>
              <wp:docPr id="5" name="5 Cuadro de texto"/>
              <wp:cNvGraphicFramePr/>
              <a:graphic xmlns:a="http://schemas.openxmlformats.org/drawingml/2006/main">
                <a:graphicData uri="http://schemas.microsoft.com/office/word/2010/wordprocessingShape">
                  <wps:wsp>
                    <wps:cNvSpPr txBox="1"/>
                    <wps:spPr>
                      <a:xfrm>
                        <a:off x="0" y="0"/>
                        <a:ext cx="657084" cy="1079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4C1C" w:rsidRPr="003E3BC0" w:rsidRDefault="001A4C1C" w:rsidP="000D3031">
                          <w:pPr>
                            <w:jc w:val="right"/>
                            <w:rPr>
                              <w:color w:val="786860"/>
                              <w:sz w:val="6"/>
                              <w:lang w:val="it-IT"/>
                            </w:rPr>
                          </w:pPr>
                          <w:r w:rsidRPr="003E3BC0">
                            <w:rPr>
                              <w:color w:val="786860"/>
                              <w:sz w:val="6"/>
                              <w:lang w:val="it-IT"/>
                            </w:rPr>
                            <w:t>BDO Audit S.A. C006/1100</w:t>
                          </w:r>
                        </w:p>
                        <w:p w:rsidR="001A4C1C" w:rsidRPr="003E3BC0" w:rsidRDefault="001A4C1C" w:rsidP="000D3031">
                          <w:pPr>
                            <w:jc w:val="right"/>
                            <w:rPr>
                              <w:color w:val="786860"/>
                              <w:sz w:val="6"/>
                              <w:lang w:val="it-IT"/>
                            </w:rPr>
                          </w:pPr>
                          <w:r w:rsidRPr="003E3BC0">
                            <w:rPr>
                              <w:color w:val="786860"/>
                              <w:sz w:val="6"/>
                              <w:lang w:val="it-IT"/>
                            </w:rPr>
                            <w:t>BDO Outsourcing S.A.S. C011/3824</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DC24B1" id="_x0000_t202" coordsize="21600,21600" o:spt="202" path="m,l,21600r21600,l21600,xe">
              <v:stroke joinstyle="miter"/>
              <v:path gradientshapeok="t" o:connecttype="rect"/>
            </v:shapetype>
            <v:shape id="_x0000_s1031" type="#_x0000_t202" style="position:absolute;margin-left:475.4pt;margin-top:756pt;width:51.75pt;height: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" filled="f" stroked="f" strokeweight=".5pt">
              <v:textbox inset="0,0,0,0">
                <w:txbxContent>
                  <w:p w:rsidR="001A4C1C" w:rsidRPr="003E3BC0" w:rsidRDefault="001A4C1C" w:rsidP="000D3031">
                    <w:pPr>
                      <w:jc w:val="right"/>
                      <w:rPr>
                        <w:color w:val="786860"/>
                        <w:sz w:val="6"/>
                        <w:lang w:val="it-IT"/>
                      </w:rPr>
                    </w:pPr>
                    <w:r w:rsidRPr="003E3BC0">
                      <w:rPr>
                        <w:color w:val="786860"/>
                        <w:sz w:val="6"/>
                        <w:lang w:val="it-IT"/>
                      </w:rPr>
                      <w:t>BDO Audit S.A. C006/1100</w:t>
                    </w:r>
                  </w:p>
                  <w:p w:rsidR="001A4C1C" w:rsidRPr="003E3BC0" w:rsidRDefault="001A4C1C" w:rsidP="000D3031">
                    <w:pPr>
                      <w:jc w:val="right"/>
                      <w:rPr>
                        <w:color w:val="786860"/>
                        <w:sz w:val="6"/>
                        <w:lang w:val="it-IT"/>
                      </w:rPr>
                    </w:pPr>
                    <w:r w:rsidRPr="003E3BC0">
                      <w:rPr>
                        <w:color w:val="786860"/>
                        <w:sz w:val="6"/>
                        <w:lang w:val="it-IT"/>
                      </w:rPr>
                      <w:t>BDO Outsourcing S.A.S. C011/3824</w:t>
                    </w:r>
                  </w:p>
                </w:txbxContent>
              </v:textbox>
              <w10:wrap anchorx="page" anchory="page"/>
            </v:shape>
          </w:pict>
        </mc:Fallback>
      </mc:AlternateContent>
    </w:r>
    <w:r>
      <w:rPr>
        <w:noProof/>
        <w:lang w:val="es-CO" w:eastAsia="es-CO"/>
      </w:rPr>
      <mc:AlternateContent>
        <mc:Choice Requires="wps">
          <w:drawing>
            <wp:anchor distT="0" distB="0" distL="114300" distR="114300" simplePos="0" relativeHeight="251653120" behindDoc="0" locked="1" layoutInCell="1" allowOverlap="1" wp14:anchorId="09C3D019" wp14:editId="3812FAC4">
              <wp:simplePos x="0" y="0"/>
              <wp:positionH relativeFrom="page">
                <wp:posOffset>1080135</wp:posOffset>
              </wp:positionH>
              <wp:positionV relativeFrom="page">
                <wp:posOffset>9343390</wp:posOffset>
              </wp:positionV>
              <wp:extent cx="4958715" cy="371475"/>
              <wp:effectExtent l="3810" t="0" r="0" b="63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8715" cy="371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17694" w:type="dxa"/>
                            <w:tblLayout w:type="fixed"/>
                            <w:tblCellMar>
                              <w:left w:w="0" w:type="dxa"/>
                              <w:right w:w="0" w:type="dxa"/>
                            </w:tblCellMar>
                            <w:tblLook w:val="0000" w:firstRow="0" w:lastRow="0" w:firstColumn="0" w:lastColumn="0" w:noHBand="0" w:noVBand="0"/>
                          </w:tblPr>
                          <w:tblGrid>
                            <w:gridCol w:w="7797"/>
                            <w:gridCol w:w="9897"/>
                          </w:tblGrid>
                          <w:tr w:rsidR="001A4C1C" w:rsidRPr="00754479" w:rsidTr="00D051F5">
                            <w:trPr>
                              <w:trHeight w:val="575"/>
                            </w:trPr>
                            <w:tc>
                              <w:tcPr>
                                <w:tcW w:w="7797" w:type="dxa"/>
                                <w:vAlign w:val="bottom"/>
                              </w:tcPr>
                              <w:p w:rsidR="001A4C1C" w:rsidRPr="00BE468F" w:rsidRDefault="001A4C1C" w:rsidP="00CA6948">
                                <w:pPr>
                                  <w:pStyle w:val="BDOFooter"/>
                                  <w:rPr>
                                    <w:lang w:val="it-IT"/>
                                  </w:rPr>
                                </w:pPr>
                                <w:r w:rsidRPr="00224B60">
                                  <w:rPr>
                                    <w:lang w:val="it-IT"/>
                                  </w:rPr>
                                  <w:t xml:space="preserve">BDO </w:t>
                                </w:r>
                                <w:r>
                                  <w:rPr>
                                    <w:lang w:val="it-IT"/>
                                  </w:rPr>
                                  <w:t>Audit S.A. sociedad anónima colombiana, BDO Advisory S.A.S., BDO Avalúos S.A.S., BDO Consulting S.A.S., BDO Corporate Finance S.A.S., BDO Legal S.A.S., BDO Outsourcing S.A.S., BDO Tax S.A.S. y BDO Colombia S.A.S. sociedades por acciones simplificadas colombianas, miembros de BDO International Limited, una compañía limitada por garantía del Reino Unido, y forman parte de la red internacional BDO de empresas independientes asociadas.</w:t>
                                </w:r>
                              </w:p>
                            </w:tc>
                            <w:tc>
                              <w:tcPr>
                                <w:tcW w:w="9897" w:type="dxa"/>
                              </w:tcPr>
                              <w:p w:rsidR="001A4C1C" w:rsidRPr="00AA4308" w:rsidRDefault="001A4C1C" w:rsidP="00D051F5">
                                <w:pPr>
                                  <w:pStyle w:val="BDOFooter"/>
                                  <w:rPr>
                                    <w:lang w:val="it-IT"/>
                                  </w:rPr>
                                </w:pPr>
                              </w:p>
                              <w:p w:rsidR="001A4C1C" w:rsidRPr="00AA4308" w:rsidRDefault="001A4C1C" w:rsidP="00F01B72">
                                <w:pPr>
                                  <w:pStyle w:val="BDOFooter"/>
                                  <w:rPr>
                                    <w:lang w:val="it-IT"/>
                                  </w:rPr>
                                </w:pPr>
                              </w:p>
                            </w:tc>
                          </w:tr>
                        </w:tbl>
                        <w:p w:rsidR="001A4C1C" w:rsidRPr="003A607B" w:rsidRDefault="001A4C1C" w:rsidP="000D3031">
                          <w:pPr>
                            <w:pStyle w:val="BDONormal"/>
                            <w:rPr>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3D019" id="_x0000_s1032" type="#_x0000_t202" style="position:absolute;margin-left:85.05pt;margin-top:735.7pt;width:390.45pt;height:29.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" filled="f" stroked="f">
              <v:textbox inset="0,0,0,0">
                <w:txbxContent>
                  <w:tbl>
                    <w:tblPr>
                      <w:tblW w:w="17694" w:type="dxa"/>
                      <w:tblLayout w:type="fixed"/>
                      <w:tblCellMar>
                        <w:left w:w="0" w:type="dxa"/>
                        <w:right w:w="0" w:type="dxa"/>
                      </w:tblCellMar>
                      <w:tblLook w:val="0000" w:firstRow="0" w:lastRow="0" w:firstColumn="0" w:lastColumn="0" w:noHBand="0" w:noVBand="0"/>
                    </w:tblPr>
                    <w:tblGrid>
                      <w:gridCol w:w="7797"/>
                      <w:gridCol w:w="9897"/>
                    </w:tblGrid>
                    <w:tr w:rsidR="001A4C1C" w:rsidRPr="00754479" w:rsidTr="00D051F5">
                      <w:trPr>
                        <w:trHeight w:val="575"/>
                      </w:trPr>
                      <w:tc>
                        <w:tcPr>
                          <w:tcW w:w="7797" w:type="dxa"/>
                          <w:vAlign w:val="bottom"/>
                        </w:tcPr>
                        <w:p w:rsidR="001A4C1C" w:rsidRPr="00BE468F" w:rsidRDefault="001A4C1C" w:rsidP="00CA6948">
                          <w:pPr>
                            <w:pStyle w:val="BDOFooter"/>
                            <w:rPr>
                              <w:lang w:val="it-IT"/>
                            </w:rPr>
                          </w:pPr>
                          <w:r w:rsidRPr="00224B60">
                            <w:rPr>
                              <w:lang w:val="it-IT"/>
                            </w:rPr>
                            <w:t xml:space="preserve">BDO </w:t>
                          </w:r>
                          <w:r>
                            <w:rPr>
                              <w:lang w:val="it-IT"/>
                            </w:rPr>
                            <w:t>Audit S.A. sociedad anónima colombiana, BDO Advisory S.A.S., BDO Avalúos S.A.S., BDO Consulting S.A.S., BDO Corporate Finance S.A.S., BDO Legal S.A.S., BDO Outsourcing S.A.S., BDO Tax S.A.S. y BDO Colombia S.A.S. sociedades por acciones simplificadas colombianas, miembros de BDO International Limited, una compañía limitada por garantía del Reino Unido, y forman parte de la red internacional BDO de empresas independientes asociadas.</w:t>
                          </w:r>
                        </w:p>
                      </w:tc>
                      <w:tc>
                        <w:tcPr>
                          <w:tcW w:w="9897" w:type="dxa"/>
                        </w:tcPr>
                        <w:p w:rsidR="001A4C1C" w:rsidRPr="00AA4308" w:rsidRDefault="001A4C1C" w:rsidP="00D051F5">
                          <w:pPr>
                            <w:pStyle w:val="BDOFooter"/>
                            <w:rPr>
                              <w:lang w:val="it-IT"/>
                            </w:rPr>
                          </w:pPr>
                        </w:p>
                        <w:p w:rsidR="001A4C1C" w:rsidRPr="00AA4308" w:rsidRDefault="001A4C1C" w:rsidP="00F01B72">
                          <w:pPr>
                            <w:pStyle w:val="BDOFooter"/>
                            <w:rPr>
                              <w:lang w:val="it-IT"/>
                            </w:rPr>
                          </w:pPr>
                        </w:p>
                      </w:tc>
                    </w:tr>
                  </w:tbl>
                  <w:p w:rsidR="001A4C1C" w:rsidRPr="003A607B" w:rsidRDefault="001A4C1C" w:rsidP="000D3031">
                    <w:pPr>
                      <w:pStyle w:val="BDONormal"/>
                      <w:rPr>
                        <w:lang w:val="it-IT"/>
                      </w:rPr>
                    </w:pPr>
                  </w:p>
                </w:txbxContent>
              </v:textbox>
              <w10:wrap anchorx="page" anchory="page"/>
              <w10:anchorlock/>
            </v:shape>
          </w:pict>
        </mc:Fallback>
      </mc:AlternateContent>
    </w:r>
  </w:p>
  <w:p w:rsidR="001A4C1C" w:rsidRPr="000D3031" w:rsidRDefault="001A4C1C" w:rsidP="000D30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7638" w:rsidRDefault="00F57638">
      <w:r>
        <w:separator/>
      </w:r>
    </w:p>
  </w:footnote>
  <w:footnote w:type="continuationSeparator" w:id="0">
    <w:p w:rsidR="00F57638" w:rsidRDefault="00F57638">
      <w:r>
        <w:continuationSeparator/>
      </w:r>
    </w:p>
  </w:footnote>
  <w:footnote w:type="continuationNotice" w:id="1">
    <w:p w:rsidR="00F57638" w:rsidRDefault="00F576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0F7" w:rsidRDefault="004770F7" w:rsidP="004770F7">
    <w:pPr>
      <w:pStyle w:val="BDONormal"/>
    </w:pPr>
    <w:r>
      <w:rPr>
        <w:noProof/>
        <w:lang w:val="es-CO" w:eastAsia="es-CO"/>
      </w:rPr>
      <mc:AlternateContent>
        <mc:Choice Requires="wps">
          <w:drawing>
            <wp:anchor distT="0" distB="0" distL="114300" distR="114300" simplePos="0" relativeHeight="251657216" behindDoc="0" locked="1" layoutInCell="1" allowOverlap="1" wp14:anchorId="7DE00C8C" wp14:editId="09AFBAB5">
              <wp:simplePos x="0" y="0"/>
              <wp:positionH relativeFrom="margin">
                <wp:align>center</wp:align>
              </wp:positionH>
              <wp:positionV relativeFrom="page">
                <wp:posOffset>456565</wp:posOffset>
              </wp:positionV>
              <wp:extent cx="5780405" cy="720090"/>
              <wp:effectExtent l="0" t="0" r="10795"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214" w:type="dxa"/>
                            <w:tblLayout w:type="fixed"/>
                            <w:tblCellMar>
                              <w:left w:w="0" w:type="dxa"/>
                              <w:right w:w="0" w:type="dxa"/>
                            </w:tblCellMar>
                            <w:tblLook w:val="0000" w:firstRow="0" w:lastRow="0" w:firstColumn="0" w:lastColumn="0" w:noHBand="0" w:noVBand="0"/>
                          </w:tblPr>
                          <w:tblGrid>
                            <w:gridCol w:w="4192"/>
                            <w:gridCol w:w="2747"/>
                            <w:gridCol w:w="2275"/>
                          </w:tblGrid>
                          <w:tr w:rsidR="004770F7" w:rsidRPr="00754479" w:rsidTr="00842B50">
                            <w:trPr>
                              <w:trHeight w:val="1066"/>
                            </w:trPr>
                            <w:tc>
                              <w:tcPr>
                                <w:tcW w:w="4192" w:type="dxa"/>
                              </w:tcPr>
                              <w:p w:rsidR="004770F7" w:rsidRDefault="004770F7" w:rsidP="000F6AB0">
                                <w:pPr>
                                  <w:pStyle w:val="BDONormal"/>
                                </w:pPr>
                              </w:p>
                            </w:tc>
                            <w:tc>
                              <w:tcPr>
                                <w:tcW w:w="2747" w:type="dxa"/>
                              </w:tcPr>
                              <w:p w:rsidR="004770F7" w:rsidRPr="00A0239E" w:rsidRDefault="004770F7" w:rsidP="000F6AB0">
                                <w:pPr>
                                  <w:pStyle w:val="BDOAddressBold"/>
                                  <w:rPr>
                                    <w:b w:val="0"/>
                                    <w:lang w:val="es-CO"/>
                                  </w:rPr>
                                </w:pPr>
                                <w:r w:rsidRPr="00A0239E">
                                  <w:rPr>
                                    <w:b w:val="0"/>
                                    <w:lang w:val="es-CO"/>
                                  </w:rPr>
                                  <w:t>Tel: +57 1 623 0199</w:t>
                                </w:r>
                              </w:p>
                              <w:p w:rsidR="004770F7" w:rsidRPr="00A0239E" w:rsidRDefault="004770F7" w:rsidP="000F6AB0">
                                <w:pPr>
                                  <w:pStyle w:val="BDOAddressBold"/>
                                  <w:rPr>
                                    <w:b w:val="0"/>
                                    <w:lang w:val="es-CO"/>
                                  </w:rPr>
                                </w:pPr>
                                <w:r w:rsidRPr="00A0239E">
                                  <w:rPr>
                                    <w:b w:val="0"/>
                                    <w:lang w:val="es-CO"/>
                                  </w:rPr>
                                  <w:t>bdo@bdo.com.co</w:t>
                                </w:r>
                              </w:p>
                              <w:p w:rsidR="004770F7" w:rsidRPr="00A0239E" w:rsidRDefault="004770F7" w:rsidP="000F6AB0">
                                <w:pPr>
                                  <w:pStyle w:val="BDOAddressBold"/>
                                  <w:rPr>
                                    <w:b w:val="0"/>
                                    <w:lang w:val="es-CO"/>
                                  </w:rPr>
                                </w:pPr>
                                <w:r w:rsidRPr="00A0239E">
                                  <w:rPr>
                                    <w:b w:val="0"/>
                                    <w:lang w:val="es-CO"/>
                                  </w:rPr>
                                  <w:t>www.bdo.com.co</w:t>
                                </w:r>
                              </w:p>
                              <w:p w:rsidR="004770F7" w:rsidRPr="00A0239E" w:rsidRDefault="004770F7" w:rsidP="000F6AB0">
                                <w:pPr>
                                  <w:pStyle w:val="BDOAddressBold"/>
                                  <w:rPr>
                                    <w:b w:val="0"/>
                                    <w:lang w:val="es-CO"/>
                                  </w:rPr>
                                </w:pPr>
                              </w:p>
                            </w:tc>
                            <w:tc>
                              <w:tcPr>
                                <w:tcW w:w="2275" w:type="dxa"/>
                              </w:tcPr>
                              <w:p w:rsidR="00A0239E" w:rsidRPr="00A0239E" w:rsidRDefault="00A0239E" w:rsidP="00842B50">
                                <w:pPr>
                                  <w:ind w:right="-232"/>
                                  <w:rPr>
                                    <w:color w:val="786860"/>
                                    <w:sz w:val="16"/>
                                    <w:lang w:val="es-CO"/>
                                  </w:rPr>
                                </w:pPr>
                                <w:r w:rsidRPr="00842B50">
                                  <w:rPr>
                                    <w:color w:val="786860"/>
                                    <w:sz w:val="16"/>
                                    <w:lang w:val="es-CO"/>
                                  </w:rPr>
                                  <w:t>C</w:t>
                                </w:r>
                                <w:r w:rsidR="00842B50" w:rsidRPr="00842B50">
                                  <w:rPr>
                                    <w:color w:val="786860"/>
                                    <w:sz w:val="16"/>
                                    <w:lang w:val="es-CO"/>
                                  </w:rPr>
                                  <w:t>arrera</w:t>
                                </w:r>
                                <w:r w:rsidRPr="00842B50">
                                  <w:rPr>
                                    <w:color w:val="786860"/>
                                    <w:sz w:val="16"/>
                                    <w:lang w:val="es-CO"/>
                                  </w:rPr>
                                  <w:t xml:space="preserve"> 16 </w:t>
                                </w:r>
                                <w:r w:rsidR="00842B50" w:rsidRPr="00842B50">
                                  <w:rPr>
                                    <w:color w:val="786860"/>
                                    <w:sz w:val="16"/>
                                    <w:lang w:val="es-CO"/>
                                  </w:rPr>
                                  <w:t xml:space="preserve">No. </w:t>
                                </w:r>
                                <w:r w:rsidRPr="00842B50">
                                  <w:rPr>
                                    <w:color w:val="786860"/>
                                    <w:sz w:val="16"/>
                                    <w:lang w:val="es-CO"/>
                                  </w:rPr>
                                  <w:t>97</w:t>
                                </w:r>
                                <w:r w:rsidR="00842B50" w:rsidRPr="00842B50">
                                  <w:rPr>
                                    <w:color w:val="786860"/>
                                    <w:sz w:val="16"/>
                                    <w:lang w:val="es-CO"/>
                                  </w:rPr>
                                  <w:t xml:space="preserve"> - </w:t>
                                </w:r>
                                <w:r w:rsidRPr="00842B50">
                                  <w:rPr>
                                    <w:color w:val="786860"/>
                                    <w:sz w:val="16"/>
                                    <w:lang w:val="es-CO"/>
                                  </w:rPr>
                                  <w:t xml:space="preserve">46, </w:t>
                                </w:r>
                                <w:r w:rsidR="00842B50" w:rsidRPr="00842B50">
                                  <w:rPr>
                                    <w:color w:val="786860"/>
                                    <w:sz w:val="16"/>
                                    <w:lang w:val="es-CO"/>
                                  </w:rPr>
                                  <w:t>p</w:t>
                                </w:r>
                                <w:r w:rsidRPr="00842B50">
                                  <w:rPr>
                                    <w:color w:val="786860"/>
                                    <w:sz w:val="16"/>
                                    <w:lang w:val="es-CO"/>
                                  </w:rPr>
                                  <w:t>iso 8</w:t>
                                </w:r>
                              </w:p>
                              <w:p w:rsidR="004770F7" w:rsidRPr="003A30FF" w:rsidRDefault="004770F7" w:rsidP="000F6AB0">
                                <w:pPr>
                                  <w:pStyle w:val="BDOAddress"/>
                                  <w:rPr>
                                    <w:lang w:val="es-CO"/>
                                  </w:rPr>
                                </w:pPr>
                                <w:r w:rsidRPr="003A30FF">
                                  <w:rPr>
                                    <w:lang w:val="es-CO"/>
                                  </w:rPr>
                                  <w:t>Bogotá D.C., Colombia</w:t>
                                </w:r>
                              </w:p>
                              <w:p w:rsidR="004770F7" w:rsidRPr="003A30FF" w:rsidRDefault="004770F7" w:rsidP="000F6AB0">
                                <w:pPr>
                                  <w:pStyle w:val="BDOAddress"/>
                                  <w:rPr>
                                    <w:lang w:val="es-CO"/>
                                  </w:rPr>
                                </w:pPr>
                                <w:r w:rsidRPr="003A30FF">
                                  <w:rPr>
                                    <w:lang w:val="es-CO"/>
                                  </w:rPr>
                                  <w:t>Sucursales:</w:t>
                                </w:r>
                              </w:p>
                              <w:p w:rsidR="00950731" w:rsidRDefault="004770F7" w:rsidP="000F6AB0">
                                <w:pPr>
                                  <w:pStyle w:val="BDOAddress"/>
                                  <w:rPr>
                                    <w:lang w:val="es-CO"/>
                                  </w:rPr>
                                </w:pPr>
                                <w:r w:rsidRPr="003A30FF">
                                  <w:rPr>
                                    <w:lang w:val="es-CO"/>
                                  </w:rPr>
                                  <w:t>Cali, Medellín</w:t>
                                </w:r>
                                <w:r w:rsidR="00D447DC">
                                  <w:rPr>
                                    <w:lang w:val="es-CO"/>
                                  </w:rPr>
                                  <w:t xml:space="preserve"> y </w:t>
                                </w:r>
                              </w:p>
                              <w:p w:rsidR="004770F7" w:rsidRPr="003A30FF" w:rsidRDefault="00D447DC" w:rsidP="000F6AB0">
                                <w:pPr>
                                  <w:pStyle w:val="BDOAddress"/>
                                  <w:rPr>
                                    <w:lang w:val="es-CO"/>
                                  </w:rPr>
                                </w:pPr>
                                <w:r>
                                  <w:rPr>
                                    <w:lang w:val="es-CO"/>
                                  </w:rPr>
                                  <w:t>Barranquilla.</w:t>
                                </w:r>
                              </w:p>
                            </w:tc>
                          </w:tr>
                        </w:tbl>
                        <w:p w:rsidR="004770F7" w:rsidRPr="003A30FF" w:rsidRDefault="004770F7" w:rsidP="004770F7">
                          <w:pPr>
                            <w:pStyle w:val="BDONormal"/>
                            <w:rPr>
                              <w:lang w:val="es-C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00C8C" id="_x0000_t202" coordsize="21600,21600" o:spt="202" path="m,l,21600r21600,l21600,xe">
              <v:stroke joinstyle="miter"/>
              <v:path gradientshapeok="t" o:connecttype="rect"/>
            </v:shapetype>
            <v:shape id="Text Box 3" o:spid="_x0000_s1026" type="#_x0000_t202" style="position:absolute;margin-left:0;margin-top:35.95pt;width:455.15pt;height:56.7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" filled="f" stroked="f">
              <v:textbox inset="0,0,0,0">
                <w:txbxContent>
                  <w:tbl>
                    <w:tblPr>
                      <w:tblW w:w="9214" w:type="dxa"/>
                      <w:tblLayout w:type="fixed"/>
                      <w:tblCellMar>
                        <w:left w:w="0" w:type="dxa"/>
                        <w:right w:w="0" w:type="dxa"/>
                      </w:tblCellMar>
                      <w:tblLook w:val="0000" w:firstRow="0" w:lastRow="0" w:firstColumn="0" w:lastColumn="0" w:noHBand="0" w:noVBand="0"/>
                    </w:tblPr>
                    <w:tblGrid>
                      <w:gridCol w:w="4192"/>
                      <w:gridCol w:w="2747"/>
                      <w:gridCol w:w="2275"/>
                    </w:tblGrid>
                    <w:tr w:rsidR="004770F7" w:rsidRPr="00754479" w:rsidTr="00842B50">
                      <w:trPr>
                        <w:trHeight w:val="1066"/>
                      </w:trPr>
                      <w:tc>
                        <w:tcPr>
                          <w:tcW w:w="4192" w:type="dxa"/>
                        </w:tcPr>
                        <w:p w:rsidR="004770F7" w:rsidRDefault="004770F7" w:rsidP="000F6AB0">
                          <w:pPr>
                            <w:pStyle w:val="BDONormal"/>
                          </w:pPr>
                        </w:p>
                      </w:tc>
                      <w:tc>
                        <w:tcPr>
                          <w:tcW w:w="2747" w:type="dxa"/>
                        </w:tcPr>
                        <w:p w:rsidR="004770F7" w:rsidRPr="00A0239E" w:rsidRDefault="004770F7" w:rsidP="000F6AB0">
                          <w:pPr>
                            <w:pStyle w:val="BDOAddressBold"/>
                            <w:rPr>
                              <w:b w:val="0"/>
                              <w:lang w:val="es-CO"/>
                            </w:rPr>
                          </w:pPr>
                          <w:r w:rsidRPr="00A0239E">
                            <w:rPr>
                              <w:b w:val="0"/>
                              <w:lang w:val="es-CO"/>
                            </w:rPr>
                            <w:t>Tel: +57 1 623 0199</w:t>
                          </w:r>
                        </w:p>
                        <w:p w:rsidR="004770F7" w:rsidRPr="00A0239E" w:rsidRDefault="004770F7" w:rsidP="000F6AB0">
                          <w:pPr>
                            <w:pStyle w:val="BDOAddressBold"/>
                            <w:rPr>
                              <w:b w:val="0"/>
                              <w:lang w:val="es-CO"/>
                            </w:rPr>
                          </w:pPr>
                          <w:r w:rsidRPr="00A0239E">
                            <w:rPr>
                              <w:b w:val="0"/>
                              <w:lang w:val="es-CO"/>
                            </w:rPr>
                            <w:t>bdo@bdo.com.co</w:t>
                          </w:r>
                        </w:p>
                        <w:p w:rsidR="004770F7" w:rsidRPr="00A0239E" w:rsidRDefault="004770F7" w:rsidP="000F6AB0">
                          <w:pPr>
                            <w:pStyle w:val="BDOAddressBold"/>
                            <w:rPr>
                              <w:b w:val="0"/>
                              <w:lang w:val="es-CO"/>
                            </w:rPr>
                          </w:pPr>
                          <w:r w:rsidRPr="00A0239E">
                            <w:rPr>
                              <w:b w:val="0"/>
                              <w:lang w:val="es-CO"/>
                            </w:rPr>
                            <w:t>www.bdo.com.co</w:t>
                          </w:r>
                        </w:p>
                        <w:p w:rsidR="004770F7" w:rsidRPr="00A0239E" w:rsidRDefault="004770F7" w:rsidP="000F6AB0">
                          <w:pPr>
                            <w:pStyle w:val="BDOAddressBold"/>
                            <w:rPr>
                              <w:b w:val="0"/>
                              <w:lang w:val="es-CO"/>
                            </w:rPr>
                          </w:pPr>
                        </w:p>
                      </w:tc>
                      <w:tc>
                        <w:tcPr>
                          <w:tcW w:w="2275" w:type="dxa"/>
                        </w:tcPr>
                        <w:p w:rsidR="00A0239E" w:rsidRPr="00A0239E" w:rsidRDefault="00A0239E" w:rsidP="00842B50">
                          <w:pPr>
                            <w:ind w:right="-232"/>
                            <w:rPr>
                              <w:color w:val="786860"/>
                              <w:sz w:val="16"/>
                              <w:lang w:val="es-CO"/>
                            </w:rPr>
                          </w:pPr>
                          <w:r w:rsidRPr="00842B50">
                            <w:rPr>
                              <w:color w:val="786860"/>
                              <w:sz w:val="16"/>
                              <w:lang w:val="es-CO"/>
                            </w:rPr>
                            <w:t>C</w:t>
                          </w:r>
                          <w:r w:rsidR="00842B50" w:rsidRPr="00842B50">
                            <w:rPr>
                              <w:color w:val="786860"/>
                              <w:sz w:val="16"/>
                              <w:lang w:val="es-CO"/>
                            </w:rPr>
                            <w:t>arrera</w:t>
                          </w:r>
                          <w:r w:rsidRPr="00842B50">
                            <w:rPr>
                              <w:color w:val="786860"/>
                              <w:sz w:val="16"/>
                              <w:lang w:val="es-CO"/>
                            </w:rPr>
                            <w:t xml:space="preserve"> 16 </w:t>
                          </w:r>
                          <w:r w:rsidR="00842B50" w:rsidRPr="00842B50">
                            <w:rPr>
                              <w:color w:val="786860"/>
                              <w:sz w:val="16"/>
                              <w:lang w:val="es-CO"/>
                            </w:rPr>
                            <w:t xml:space="preserve">No. </w:t>
                          </w:r>
                          <w:r w:rsidRPr="00842B50">
                            <w:rPr>
                              <w:color w:val="786860"/>
                              <w:sz w:val="16"/>
                              <w:lang w:val="es-CO"/>
                            </w:rPr>
                            <w:t>97</w:t>
                          </w:r>
                          <w:r w:rsidR="00842B50" w:rsidRPr="00842B50">
                            <w:rPr>
                              <w:color w:val="786860"/>
                              <w:sz w:val="16"/>
                              <w:lang w:val="es-CO"/>
                            </w:rPr>
                            <w:t xml:space="preserve"> - </w:t>
                          </w:r>
                          <w:r w:rsidRPr="00842B50">
                            <w:rPr>
                              <w:color w:val="786860"/>
                              <w:sz w:val="16"/>
                              <w:lang w:val="es-CO"/>
                            </w:rPr>
                            <w:t xml:space="preserve">46, </w:t>
                          </w:r>
                          <w:r w:rsidR="00842B50" w:rsidRPr="00842B50">
                            <w:rPr>
                              <w:color w:val="786860"/>
                              <w:sz w:val="16"/>
                              <w:lang w:val="es-CO"/>
                            </w:rPr>
                            <w:t>p</w:t>
                          </w:r>
                          <w:r w:rsidRPr="00842B50">
                            <w:rPr>
                              <w:color w:val="786860"/>
                              <w:sz w:val="16"/>
                              <w:lang w:val="es-CO"/>
                            </w:rPr>
                            <w:t>iso 8</w:t>
                          </w:r>
                        </w:p>
                        <w:p w:rsidR="004770F7" w:rsidRPr="003A30FF" w:rsidRDefault="004770F7" w:rsidP="000F6AB0">
                          <w:pPr>
                            <w:pStyle w:val="BDOAddress"/>
                            <w:rPr>
                              <w:lang w:val="es-CO"/>
                            </w:rPr>
                          </w:pPr>
                          <w:r w:rsidRPr="003A30FF">
                            <w:rPr>
                              <w:lang w:val="es-CO"/>
                            </w:rPr>
                            <w:t>Bogotá D.C., Colombia</w:t>
                          </w:r>
                        </w:p>
                        <w:p w:rsidR="004770F7" w:rsidRPr="003A30FF" w:rsidRDefault="004770F7" w:rsidP="000F6AB0">
                          <w:pPr>
                            <w:pStyle w:val="BDOAddress"/>
                            <w:rPr>
                              <w:lang w:val="es-CO"/>
                            </w:rPr>
                          </w:pPr>
                          <w:r w:rsidRPr="003A30FF">
                            <w:rPr>
                              <w:lang w:val="es-CO"/>
                            </w:rPr>
                            <w:t>Sucursales:</w:t>
                          </w:r>
                        </w:p>
                        <w:p w:rsidR="00950731" w:rsidRDefault="004770F7" w:rsidP="000F6AB0">
                          <w:pPr>
                            <w:pStyle w:val="BDOAddress"/>
                            <w:rPr>
                              <w:lang w:val="es-CO"/>
                            </w:rPr>
                          </w:pPr>
                          <w:r w:rsidRPr="003A30FF">
                            <w:rPr>
                              <w:lang w:val="es-CO"/>
                            </w:rPr>
                            <w:t>Cali, Medellín</w:t>
                          </w:r>
                          <w:r w:rsidR="00D447DC">
                            <w:rPr>
                              <w:lang w:val="es-CO"/>
                            </w:rPr>
                            <w:t xml:space="preserve"> y </w:t>
                          </w:r>
                        </w:p>
                        <w:p w:rsidR="004770F7" w:rsidRPr="003A30FF" w:rsidRDefault="00D447DC" w:rsidP="000F6AB0">
                          <w:pPr>
                            <w:pStyle w:val="BDOAddress"/>
                            <w:rPr>
                              <w:lang w:val="es-CO"/>
                            </w:rPr>
                          </w:pPr>
                          <w:r>
                            <w:rPr>
                              <w:lang w:val="es-CO"/>
                            </w:rPr>
                            <w:t>Barranquilla.</w:t>
                          </w:r>
                        </w:p>
                      </w:tc>
                    </w:tr>
                  </w:tbl>
                  <w:p w:rsidR="004770F7" w:rsidRPr="003A30FF" w:rsidRDefault="004770F7" w:rsidP="004770F7">
                    <w:pPr>
                      <w:pStyle w:val="BDONormal"/>
                      <w:rPr>
                        <w:lang w:val="es-CO"/>
                      </w:rPr>
                    </w:pPr>
                  </w:p>
                </w:txbxContent>
              </v:textbox>
              <w10:wrap anchorx="margin" anchory="page"/>
              <w10:anchorlock/>
            </v:shape>
          </w:pict>
        </mc:Fallback>
      </mc:AlternateContent>
    </w:r>
  </w:p>
  <w:p w:rsidR="004770F7" w:rsidRDefault="00B84F41" w:rsidP="004770F7">
    <w:pPr>
      <w:pStyle w:val="Encabezado"/>
    </w:pPr>
    <w:r>
      <w:rPr>
        <w:noProof/>
        <w:lang w:val="es-CO" w:eastAsia="es-CO"/>
      </w:rPr>
      <w:drawing>
        <wp:inline distT="0" distB="0" distL="0" distR="0" wp14:anchorId="7DBEB325" wp14:editId="17EB7FB1">
          <wp:extent cx="982345" cy="382270"/>
          <wp:effectExtent l="0" t="0" r="8255" b="0"/>
          <wp:docPr id="16" name="Imagen 1" descr="BDO_Logo_RGB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O_Logo_RGB 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345" cy="382270"/>
                  </a:xfrm>
                  <a:prstGeom prst="rect">
                    <a:avLst/>
                  </a:prstGeom>
                  <a:noFill/>
                  <a:ln>
                    <a:noFill/>
                  </a:ln>
                </pic:spPr>
              </pic:pic>
            </a:graphicData>
          </a:graphic>
        </wp:inline>
      </w:drawing>
    </w:r>
  </w:p>
  <w:p w:rsidR="004770F7" w:rsidRDefault="004770F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C1C" w:rsidRDefault="001A4C1C" w:rsidP="000F6AB0">
    <w:pPr>
      <w:pStyle w:val="BDONormal"/>
    </w:pPr>
    <w:r>
      <w:rPr>
        <w:noProof/>
        <w:lang w:val="es-CO" w:eastAsia="es-CO"/>
      </w:rPr>
      <mc:AlternateContent>
        <mc:Choice Requires="wps">
          <w:drawing>
            <wp:anchor distT="0" distB="0" distL="114300" distR="114300" simplePos="0" relativeHeight="251649024" behindDoc="0" locked="1" layoutInCell="1" allowOverlap="1" wp14:anchorId="3DB4AB71" wp14:editId="5721EE68">
              <wp:simplePos x="0" y="0"/>
              <wp:positionH relativeFrom="page">
                <wp:posOffset>1080135</wp:posOffset>
              </wp:positionH>
              <wp:positionV relativeFrom="page">
                <wp:posOffset>540385</wp:posOffset>
              </wp:positionV>
              <wp:extent cx="5615940" cy="720090"/>
              <wp:effectExtent l="381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845" w:type="dxa"/>
                            <w:tblLayout w:type="fixed"/>
                            <w:tblCellMar>
                              <w:left w:w="0" w:type="dxa"/>
                              <w:right w:w="0" w:type="dxa"/>
                            </w:tblCellMar>
                            <w:tblLook w:val="0000" w:firstRow="0" w:lastRow="0" w:firstColumn="0" w:lastColumn="0" w:noHBand="0" w:noVBand="0"/>
                          </w:tblPr>
                          <w:tblGrid>
                            <w:gridCol w:w="4186"/>
                            <w:gridCol w:w="2743"/>
                            <w:gridCol w:w="1916"/>
                          </w:tblGrid>
                          <w:tr w:rsidR="001A4C1C" w:rsidRPr="00754479" w:rsidTr="00B62115">
                            <w:tc>
                              <w:tcPr>
                                <w:tcW w:w="4186" w:type="dxa"/>
                              </w:tcPr>
                              <w:p w:rsidR="001A4C1C" w:rsidRDefault="001A4C1C" w:rsidP="000F6AB0">
                                <w:pPr>
                                  <w:pStyle w:val="BDONormal"/>
                                </w:pPr>
                                <w:r>
                                  <w:rPr>
                                    <w:noProof/>
                                    <w:lang w:val="es-CO" w:eastAsia="es-CO"/>
                                  </w:rPr>
                                  <w:drawing>
                                    <wp:inline distT="0" distB="0" distL="0" distR="0" wp14:anchorId="0D892B1F" wp14:editId="6247EA40">
                                      <wp:extent cx="982345" cy="382270"/>
                                      <wp:effectExtent l="0" t="0" r="8255" b="0"/>
                                      <wp:docPr id="17" name="Imagen 1" descr="BDO_Logo_RGB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O_Logo_RGB 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345" cy="382270"/>
                                              </a:xfrm>
                                              <a:prstGeom prst="rect">
                                                <a:avLst/>
                                              </a:prstGeom>
                                              <a:noFill/>
                                              <a:ln>
                                                <a:noFill/>
                                              </a:ln>
                                            </pic:spPr>
                                          </pic:pic>
                                        </a:graphicData>
                                      </a:graphic>
                                    </wp:inline>
                                  </w:drawing>
                                </w:r>
                              </w:p>
                            </w:tc>
                            <w:tc>
                              <w:tcPr>
                                <w:tcW w:w="2743" w:type="dxa"/>
                              </w:tcPr>
                              <w:p w:rsidR="001A4C1C" w:rsidRPr="00CA6948" w:rsidRDefault="001A4C1C" w:rsidP="000F6AB0">
                                <w:pPr>
                                  <w:pStyle w:val="BDOAddressBold"/>
                                  <w:rPr>
                                    <w:b w:val="0"/>
                                    <w:szCs w:val="16"/>
                                  </w:rPr>
                                </w:pPr>
                                <w:r w:rsidRPr="00CA6948">
                                  <w:rPr>
                                    <w:b w:val="0"/>
                                    <w:szCs w:val="16"/>
                                  </w:rPr>
                                  <w:t>Tel: +57 1 623 0199</w:t>
                                </w:r>
                              </w:p>
                              <w:p w:rsidR="001A4C1C" w:rsidRPr="00CA6948" w:rsidRDefault="001A4C1C" w:rsidP="000F6AB0">
                                <w:pPr>
                                  <w:pStyle w:val="BDOAddressBold"/>
                                  <w:rPr>
                                    <w:b w:val="0"/>
                                    <w:szCs w:val="16"/>
                                  </w:rPr>
                                </w:pPr>
                                <w:r w:rsidRPr="00CA6948">
                                  <w:rPr>
                                    <w:b w:val="0"/>
                                    <w:szCs w:val="16"/>
                                  </w:rPr>
                                  <w:t>Fax: +57 1 236 8407</w:t>
                                </w:r>
                              </w:p>
                              <w:p w:rsidR="001A4C1C" w:rsidRPr="00CA6948" w:rsidRDefault="001A4C1C" w:rsidP="000F6AB0">
                                <w:pPr>
                                  <w:pStyle w:val="BDOAddressBold"/>
                                  <w:rPr>
                                    <w:b w:val="0"/>
                                    <w:szCs w:val="16"/>
                                  </w:rPr>
                                </w:pPr>
                                <w:r w:rsidRPr="00CA6948">
                                  <w:rPr>
                                    <w:b w:val="0"/>
                                    <w:szCs w:val="16"/>
                                  </w:rPr>
                                  <w:t>bdo@bdo.com.co</w:t>
                                </w:r>
                              </w:p>
                              <w:p w:rsidR="001A4C1C" w:rsidRDefault="001A4C1C" w:rsidP="000F6AB0">
                                <w:pPr>
                                  <w:pStyle w:val="BDOAddressBold"/>
                                  <w:rPr>
                                    <w:b w:val="0"/>
                                    <w:szCs w:val="16"/>
                                  </w:rPr>
                                </w:pPr>
                                <w:r w:rsidRPr="00CA6948">
                                  <w:rPr>
                                    <w:b w:val="0"/>
                                    <w:szCs w:val="16"/>
                                  </w:rPr>
                                  <w:t>www.bdo.com.co</w:t>
                                </w:r>
                              </w:p>
                              <w:p w:rsidR="001A4C1C" w:rsidRPr="00CA6948" w:rsidRDefault="001A4C1C" w:rsidP="000F6AB0">
                                <w:pPr>
                                  <w:pStyle w:val="BDOAddressBold"/>
                                  <w:rPr>
                                    <w:b w:val="0"/>
                                    <w:szCs w:val="16"/>
                                  </w:rPr>
                                </w:pPr>
                              </w:p>
                            </w:tc>
                            <w:tc>
                              <w:tcPr>
                                <w:tcW w:w="1916" w:type="dxa"/>
                              </w:tcPr>
                              <w:p w:rsidR="001A4C1C" w:rsidRPr="00C92237" w:rsidRDefault="001A4C1C" w:rsidP="000F6AB0">
                                <w:pPr>
                                  <w:pStyle w:val="BDOAddress"/>
                                  <w:rPr>
                                    <w:lang w:val="es-CO"/>
                                  </w:rPr>
                                </w:pPr>
                                <w:r w:rsidRPr="00C92237">
                                  <w:rPr>
                                    <w:lang w:val="es-CO"/>
                                  </w:rPr>
                                  <w:t>Transversal 21 No. 98 – 05</w:t>
                                </w:r>
                              </w:p>
                              <w:p w:rsidR="001A4C1C" w:rsidRPr="00C92237" w:rsidRDefault="001A4C1C" w:rsidP="000F6AB0">
                                <w:pPr>
                                  <w:pStyle w:val="BDOAddress"/>
                                  <w:rPr>
                                    <w:lang w:val="es-CO"/>
                                  </w:rPr>
                                </w:pPr>
                                <w:r w:rsidRPr="00C92237">
                                  <w:rPr>
                                    <w:lang w:val="es-CO"/>
                                  </w:rPr>
                                  <w:t>Bogotá D.C., Colombia</w:t>
                                </w:r>
                              </w:p>
                              <w:p w:rsidR="001A4C1C" w:rsidRPr="00C92237" w:rsidRDefault="001A4C1C" w:rsidP="000F6AB0">
                                <w:pPr>
                                  <w:pStyle w:val="BDOAddress"/>
                                  <w:rPr>
                                    <w:lang w:val="es-CO"/>
                                  </w:rPr>
                                </w:pPr>
                                <w:r w:rsidRPr="00C92237">
                                  <w:rPr>
                                    <w:lang w:val="es-CO"/>
                                  </w:rPr>
                                  <w:t>Sucursales:</w:t>
                                </w:r>
                              </w:p>
                              <w:p w:rsidR="001A4C1C" w:rsidRPr="00C92237" w:rsidRDefault="001A4C1C" w:rsidP="000F6AB0">
                                <w:pPr>
                                  <w:pStyle w:val="BDOAddress"/>
                                  <w:rPr>
                                    <w:lang w:val="es-CO"/>
                                  </w:rPr>
                                </w:pPr>
                                <w:r w:rsidRPr="00C92237">
                                  <w:rPr>
                                    <w:lang w:val="es-CO"/>
                                  </w:rPr>
                                  <w:t>Bucaramanga, Cali, Ibagué, Medellín, Sincelejo y Tunja</w:t>
                                </w:r>
                              </w:p>
                              <w:p w:rsidR="001A4C1C" w:rsidRPr="00C92237" w:rsidRDefault="001A4C1C" w:rsidP="000F6AB0">
                                <w:pPr>
                                  <w:pStyle w:val="BDOAddress"/>
                                  <w:rPr>
                                    <w:lang w:val="es-CO"/>
                                  </w:rPr>
                                </w:pPr>
                              </w:p>
                            </w:tc>
                          </w:tr>
                        </w:tbl>
                        <w:p w:rsidR="001A4C1C" w:rsidRPr="00C92237" w:rsidRDefault="001A4C1C" w:rsidP="000F6AB0">
                          <w:pPr>
                            <w:pStyle w:val="BDONormal"/>
                            <w:rPr>
                              <w:lang w:val="es-C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4AB71" id="_x0000_t202" coordsize="21600,21600" o:spt="202" path="m,l,21600r21600,l21600,xe">
              <v:stroke joinstyle="miter"/>
              <v:path gradientshapeok="t" o:connecttype="rect"/>
            </v:shapetype>
            <v:shape id="_x0000_s1030" type="#_x0000_t202" style="position:absolute;margin-left:85.05pt;margin-top:42.55pt;width:442.2pt;height:56.7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" filled="f" stroked="f">
              <v:textbox inset="0,0,0,0">
                <w:txbxContent>
                  <w:tbl>
                    <w:tblPr>
                      <w:tblW w:w="8845" w:type="dxa"/>
                      <w:tblLayout w:type="fixed"/>
                      <w:tblCellMar>
                        <w:left w:w="0" w:type="dxa"/>
                        <w:right w:w="0" w:type="dxa"/>
                      </w:tblCellMar>
                      <w:tblLook w:val="0000" w:firstRow="0" w:lastRow="0" w:firstColumn="0" w:lastColumn="0" w:noHBand="0" w:noVBand="0"/>
                    </w:tblPr>
                    <w:tblGrid>
                      <w:gridCol w:w="4186"/>
                      <w:gridCol w:w="2743"/>
                      <w:gridCol w:w="1916"/>
                    </w:tblGrid>
                    <w:tr w:rsidR="001A4C1C" w:rsidRPr="00754479" w:rsidTr="00B62115">
                      <w:tc>
                        <w:tcPr>
                          <w:tcW w:w="4186" w:type="dxa"/>
                        </w:tcPr>
                        <w:p w:rsidR="001A4C1C" w:rsidRDefault="001A4C1C" w:rsidP="000F6AB0">
                          <w:pPr>
                            <w:pStyle w:val="BDONormal"/>
                          </w:pPr>
                          <w:r>
                            <w:rPr>
                              <w:noProof/>
                              <w:lang w:val="es-CO" w:eastAsia="es-CO"/>
                            </w:rPr>
                            <w:drawing>
                              <wp:inline distT="0" distB="0" distL="0" distR="0" wp14:anchorId="0D892B1F" wp14:editId="6247EA40">
                                <wp:extent cx="982345" cy="382270"/>
                                <wp:effectExtent l="0" t="0" r="8255" b="0"/>
                                <wp:docPr id="17" name="Imagen 1" descr="BDO_Logo_RGB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O_Logo_RGB 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345" cy="382270"/>
                                        </a:xfrm>
                                        <a:prstGeom prst="rect">
                                          <a:avLst/>
                                        </a:prstGeom>
                                        <a:noFill/>
                                        <a:ln>
                                          <a:noFill/>
                                        </a:ln>
                                      </pic:spPr>
                                    </pic:pic>
                                  </a:graphicData>
                                </a:graphic>
                              </wp:inline>
                            </w:drawing>
                          </w:r>
                        </w:p>
                      </w:tc>
                      <w:tc>
                        <w:tcPr>
                          <w:tcW w:w="2743" w:type="dxa"/>
                        </w:tcPr>
                        <w:p w:rsidR="001A4C1C" w:rsidRPr="00CA6948" w:rsidRDefault="001A4C1C" w:rsidP="000F6AB0">
                          <w:pPr>
                            <w:pStyle w:val="BDOAddressBold"/>
                            <w:rPr>
                              <w:b w:val="0"/>
                              <w:szCs w:val="16"/>
                            </w:rPr>
                          </w:pPr>
                          <w:r w:rsidRPr="00CA6948">
                            <w:rPr>
                              <w:b w:val="0"/>
                              <w:szCs w:val="16"/>
                            </w:rPr>
                            <w:t>Tel: +57 1 623 0199</w:t>
                          </w:r>
                        </w:p>
                        <w:p w:rsidR="001A4C1C" w:rsidRPr="00CA6948" w:rsidRDefault="001A4C1C" w:rsidP="000F6AB0">
                          <w:pPr>
                            <w:pStyle w:val="BDOAddressBold"/>
                            <w:rPr>
                              <w:b w:val="0"/>
                              <w:szCs w:val="16"/>
                            </w:rPr>
                          </w:pPr>
                          <w:r w:rsidRPr="00CA6948">
                            <w:rPr>
                              <w:b w:val="0"/>
                              <w:szCs w:val="16"/>
                            </w:rPr>
                            <w:t>Fax: +57 1 236 8407</w:t>
                          </w:r>
                        </w:p>
                        <w:p w:rsidR="001A4C1C" w:rsidRPr="00CA6948" w:rsidRDefault="001A4C1C" w:rsidP="000F6AB0">
                          <w:pPr>
                            <w:pStyle w:val="BDOAddressBold"/>
                            <w:rPr>
                              <w:b w:val="0"/>
                              <w:szCs w:val="16"/>
                            </w:rPr>
                          </w:pPr>
                          <w:r w:rsidRPr="00CA6948">
                            <w:rPr>
                              <w:b w:val="0"/>
                              <w:szCs w:val="16"/>
                            </w:rPr>
                            <w:t>bdo@bdo.com.co</w:t>
                          </w:r>
                        </w:p>
                        <w:p w:rsidR="001A4C1C" w:rsidRDefault="001A4C1C" w:rsidP="000F6AB0">
                          <w:pPr>
                            <w:pStyle w:val="BDOAddressBold"/>
                            <w:rPr>
                              <w:b w:val="0"/>
                              <w:szCs w:val="16"/>
                            </w:rPr>
                          </w:pPr>
                          <w:r w:rsidRPr="00CA6948">
                            <w:rPr>
                              <w:b w:val="0"/>
                              <w:szCs w:val="16"/>
                            </w:rPr>
                            <w:t>www.bdo.com.co</w:t>
                          </w:r>
                        </w:p>
                        <w:p w:rsidR="001A4C1C" w:rsidRPr="00CA6948" w:rsidRDefault="001A4C1C" w:rsidP="000F6AB0">
                          <w:pPr>
                            <w:pStyle w:val="BDOAddressBold"/>
                            <w:rPr>
                              <w:b w:val="0"/>
                              <w:szCs w:val="16"/>
                            </w:rPr>
                          </w:pPr>
                        </w:p>
                      </w:tc>
                      <w:tc>
                        <w:tcPr>
                          <w:tcW w:w="1916" w:type="dxa"/>
                        </w:tcPr>
                        <w:p w:rsidR="001A4C1C" w:rsidRPr="00C92237" w:rsidRDefault="001A4C1C" w:rsidP="000F6AB0">
                          <w:pPr>
                            <w:pStyle w:val="BDOAddress"/>
                            <w:rPr>
                              <w:lang w:val="es-CO"/>
                            </w:rPr>
                          </w:pPr>
                          <w:r w:rsidRPr="00C92237">
                            <w:rPr>
                              <w:lang w:val="es-CO"/>
                            </w:rPr>
                            <w:t>Transversal 21 No. 98 – 05</w:t>
                          </w:r>
                        </w:p>
                        <w:p w:rsidR="001A4C1C" w:rsidRPr="00C92237" w:rsidRDefault="001A4C1C" w:rsidP="000F6AB0">
                          <w:pPr>
                            <w:pStyle w:val="BDOAddress"/>
                            <w:rPr>
                              <w:lang w:val="es-CO"/>
                            </w:rPr>
                          </w:pPr>
                          <w:r w:rsidRPr="00C92237">
                            <w:rPr>
                              <w:lang w:val="es-CO"/>
                            </w:rPr>
                            <w:t>Bogotá D.C., Colombia</w:t>
                          </w:r>
                        </w:p>
                        <w:p w:rsidR="001A4C1C" w:rsidRPr="00C92237" w:rsidRDefault="001A4C1C" w:rsidP="000F6AB0">
                          <w:pPr>
                            <w:pStyle w:val="BDOAddress"/>
                            <w:rPr>
                              <w:lang w:val="es-CO"/>
                            </w:rPr>
                          </w:pPr>
                          <w:r w:rsidRPr="00C92237">
                            <w:rPr>
                              <w:lang w:val="es-CO"/>
                            </w:rPr>
                            <w:t>Sucursales:</w:t>
                          </w:r>
                        </w:p>
                        <w:p w:rsidR="001A4C1C" w:rsidRPr="00C92237" w:rsidRDefault="001A4C1C" w:rsidP="000F6AB0">
                          <w:pPr>
                            <w:pStyle w:val="BDOAddress"/>
                            <w:rPr>
                              <w:lang w:val="es-CO"/>
                            </w:rPr>
                          </w:pPr>
                          <w:r w:rsidRPr="00C92237">
                            <w:rPr>
                              <w:lang w:val="es-CO"/>
                            </w:rPr>
                            <w:t>Bucaramanga, Cali, Ibagué, Medellín, Sincelejo y Tunja</w:t>
                          </w:r>
                        </w:p>
                        <w:p w:rsidR="001A4C1C" w:rsidRPr="00C92237" w:rsidRDefault="001A4C1C" w:rsidP="000F6AB0">
                          <w:pPr>
                            <w:pStyle w:val="BDOAddress"/>
                            <w:rPr>
                              <w:lang w:val="es-CO"/>
                            </w:rPr>
                          </w:pPr>
                        </w:p>
                      </w:tc>
                    </w:tr>
                  </w:tbl>
                  <w:p w:rsidR="001A4C1C" w:rsidRPr="00C92237" w:rsidRDefault="001A4C1C" w:rsidP="000F6AB0">
                    <w:pPr>
                      <w:pStyle w:val="BDONormal"/>
                      <w:rPr>
                        <w:lang w:val="es-CO"/>
                      </w:rPr>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8888AA2"/>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C240B706"/>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A5B8103A"/>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C0841E06"/>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F808E504"/>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B09C9A"/>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0CAACE"/>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74B52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1B2AFB0"/>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68A892FC"/>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4460FA8"/>
    <w:multiLevelType w:val="hybridMultilevel"/>
    <w:tmpl w:val="8D2433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6810651"/>
    <w:multiLevelType w:val="hybridMultilevel"/>
    <w:tmpl w:val="0D5E50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F3D3169"/>
    <w:multiLevelType w:val="hybridMultilevel"/>
    <w:tmpl w:val="B302EAC8"/>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6BE715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DD04E71"/>
    <w:multiLevelType w:val="hybridMultilevel"/>
    <w:tmpl w:val="00947B7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367E2F80"/>
    <w:multiLevelType w:val="hybridMultilevel"/>
    <w:tmpl w:val="6708F8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89278F0"/>
    <w:multiLevelType w:val="multilevel"/>
    <w:tmpl w:val="04090023"/>
    <w:styleLink w:val="ArtculoSeccin"/>
    <w:lvl w:ilvl="0">
      <w:start w:val="1"/>
      <w:numFmt w:val="upperRoman"/>
      <w:pStyle w:val="Ttulo1"/>
      <w:lvlText w:val="Article %1."/>
      <w:lvlJc w:val="left"/>
      <w:pPr>
        <w:tabs>
          <w:tab w:val="num" w:pos="1440"/>
        </w:tabs>
        <w:ind w:left="0" w:firstLine="0"/>
      </w:pPr>
    </w:lvl>
    <w:lvl w:ilvl="1">
      <w:start w:val="1"/>
      <w:numFmt w:val="decimal"/>
      <w:pStyle w:val="Ttulo2"/>
      <w:lvlText w:val="Section %1.%2"/>
      <w:lvlJc w:val="left"/>
      <w:pPr>
        <w:tabs>
          <w:tab w:val="num" w:pos="1080"/>
        </w:tabs>
        <w:ind w:left="0"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abstractNum w:abstractNumId="17" w15:restartNumberingAfterBreak="0">
    <w:nsid w:val="3C6A7A1D"/>
    <w:multiLevelType w:val="hybridMultilevel"/>
    <w:tmpl w:val="2114451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8" w15:restartNumberingAfterBreak="0">
    <w:nsid w:val="3D49615A"/>
    <w:multiLevelType w:val="multilevel"/>
    <w:tmpl w:val="F79EF8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542B5E"/>
    <w:multiLevelType w:val="hybridMultilevel"/>
    <w:tmpl w:val="C1BA7DBA"/>
    <w:lvl w:ilvl="0" w:tplc="CBA61CD6">
      <w:start w:val="1"/>
      <w:numFmt w:val="bullet"/>
      <w:pStyle w:val="BDOBulletOne"/>
      <w:lvlText w:val="•"/>
      <w:lvlJc w:val="left"/>
      <w:pPr>
        <w:tabs>
          <w:tab w:val="num" w:pos="227"/>
        </w:tabs>
        <w:ind w:left="227" w:hanging="227"/>
      </w:pPr>
      <w:rPr>
        <w:rFonts w:ascii="Trebuchet MS" w:hAnsi="Trebuchet M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AE02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CE779EC"/>
    <w:multiLevelType w:val="hybridMultilevel"/>
    <w:tmpl w:val="5FA497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DFA24C8"/>
    <w:multiLevelType w:val="hybridMultilevel"/>
    <w:tmpl w:val="73F05B98"/>
    <w:lvl w:ilvl="0" w:tplc="8270A982">
      <w:numFmt w:val="bullet"/>
      <w:lvlText w:val="-"/>
      <w:lvlJc w:val="left"/>
      <w:pPr>
        <w:ind w:left="423" w:hanging="360"/>
      </w:pPr>
      <w:rPr>
        <w:rFonts w:ascii="Trebuchet MS" w:eastAsia="Times New Roman" w:hAnsi="Trebuchet MS" w:cs="Times New Roman" w:hint="default"/>
      </w:rPr>
    </w:lvl>
    <w:lvl w:ilvl="1" w:tplc="240A0003" w:tentative="1">
      <w:start w:val="1"/>
      <w:numFmt w:val="bullet"/>
      <w:lvlText w:val="o"/>
      <w:lvlJc w:val="left"/>
      <w:pPr>
        <w:ind w:left="1143" w:hanging="360"/>
      </w:pPr>
      <w:rPr>
        <w:rFonts w:ascii="Courier New" w:hAnsi="Courier New" w:cs="Courier New" w:hint="default"/>
      </w:rPr>
    </w:lvl>
    <w:lvl w:ilvl="2" w:tplc="240A0005" w:tentative="1">
      <w:start w:val="1"/>
      <w:numFmt w:val="bullet"/>
      <w:lvlText w:val=""/>
      <w:lvlJc w:val="left"/>
      <w:pPr>
        <w:ind w:left="1863" w:hanging="360"/>
      </w:pPr>
      <w:rPr>
        <w:rFonts w:ascii="Wingdings" w:hAnsi="Wingdings" w:hint="default"/>
      </w:rPr>
    </w:lvl>
    <w:lvl w:ilvl="3" w:tplc="240A0001" w:tentative="1">
      <w:start w:val="1"/>
      <w:numFmt w:val="bullet"/>
      <w:lvlText w:val=""/>
      <w:lvlJc w:val="left"/>
      <w:pPr>
        <w:ind w:left="2583" w:hanging="360"/>
      </w:pPr>
      <w:rPr>
        <w:rFonts w:ascii="Symbol" w:hAnsi="Symbol" w:hint="default"/>
      </w:rPr>
    </w:lvl>
    <w:lvl w:ilvl="4" w:tplc="240A0003" w:tentative="1">
      <w:start w:val="1"/>
      <w:numFmt w:val="bullet"/>
      <w:lvlText w:val="o"/>
      <w:lvlJc w:val="left"/>
      <w:pPr>
        <w:ind w:left="3303" w:hanging="360"/>
      </w:pPr>
      <w:rPr>
        <w:rFonts w:ascii="Courier New" w:hAnsi="Courier New" w:cs="Courier New" w:hint="default"/>
      </w:rPr>
    </w:lvl>
    <w:lvl w:ilvl="5" w:tplc="240A0005" w:tentative="1">
      <w:start w:val="1"/>
      <w:numFmt w:val="bullet"/>
      <w:lvlText w:val=""/>
      <w:lvlJc w:val="left"/>
      <w:pPr>
        <w:ind w:left="4023" w:hanging="360"/>
      </w:pPr>
      <w:rPr>
        <w:rFonts w:ascii="Wingdings" w:hAnsi="Wingdings" w:hint="default"/>
      </w:rPr>
    </w:lvl>
    <w:lvl w:ilvl="6" w:tplc="240A0001" w:tentative="1">
      <w:start w:val="1"/>
      <w:numFmt w:val="bullet"/>
      <w:lvlText w:val=""/>
      <w:lvlJc w:val="left"/>
      <w:pPr>
        <w:ind w:left="4743" w:hanging="360"/>
      </w:pPr>
      <w:rPr>
        <w:rFonts w:ascii="Symbol" w:hAnsi="Symbol" w:hint="default"/>
      </w:rPr>
    </w:lvl>
    <w:lvl w:ilvl="7" w:tplc="240A0003" w:tentative="1">
      <w:start w:val="1"/>
      <w:numFmt w:val="bullet"/>
      <w:lvlText w:val="o"/>
      <w:lvlJc w:val="left"/>
      <w:pPr>
        <w:ind w:left="5463" w:hanging="360"/>
      </w:pPr>
      <w:rPr>
        <w:rFonts w:ascii="Courier New" w:hAnsi="Courier New" w:cs="Courier New" w:hint="default"/>
      </w:rPr>
    </w:lvl>
    <w:lvl w:ilvl="8" w:tplc="240A0005" w:tentative="1">
      <w:start w:val="1"/>
      <w:numFmt w:val="bullet"/>
      <w:lvlText w:val=""/>
      <w:lvlJc w:val="left"/>
      <w:pPr>
        <w:ind w:left="6183" w:hanging="360"/>
      </w:pPr>
      <w:rPr>
        <w:rFonts w:ascii="Wingdings" w:hAnsi="Wingdings" w:hint="default"/>
      </w:rPr>
    </w:lvl>
  </w:abstractNum>
  <w:abstractNum w:abstractNumId="23" w15:restartNumberingAfterBreak="0">
    <w:nsid w:val="73670A1D"/>
    <w:multiLevelType w:val="hybridMultilevel"/>
    <w:tmpl w:val="3380135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852259677">
    <w:abstractNumId w:val="19"/>
  </w:num>
  <w:num w:numId="2" w16cid:durableId="817845507">
    <w:abstractNumId w:val="20"/>
  </w:num>
  <w:num w:numId="3" w16cid:durableId="688993161">
    <w:abstractNumId w:val="13"/>
  </w:num>
  <w:num w:numId="4" w16cid:durableId="897210074">
    <w:abstractNumId w:val="16"/>
  </w:num>
  <w:num w:numId="5" w16cid:durableId="257836180">
    <w:abstractNumId w:val="9"/>
  </w:num>
  <w:num w:numId="6" w16cid:durableId="1378122175">
    <w:abstractNumId w:val="7"/>
  </w:num>
  <w:num w:numId="7" w16cid:durableId="926159271">
    <w:abstractNumId w:val="6"/>
  </w:num>
  <w:num w:numId="8" w16cid:durableId="1837380765">
    <w:abstractNumId w:val="5"/>
  </w:num>
  <w:num w:numId="9" w16cid:durableId="42560612">
    <w:abstractNumId w:val="4"/>
  </w:num>
  <w:num w:numId="10" w16cid:durableId="1687248792">
    <w:abstractNumId w:val="8"/>
  </w:num>
  <w:num w:numId="11" w16cid:durableId="923803457">
    <w:abstractNumId w:val="3"/>
  </w:num>
  <w:num w:numId="12" w16cid:durableId="1814715032">
    <w:abstractNumId w:val="2"/>
  </w:num>
  <w:num w:numId="13" w16cid:durableId="1697076003">
    <w:abstractNumId w:val="1"/>
  </w:num>
  <w:num w:numId="14" w16cid:durableId="885603156">
    <w:abstractNumId w:val="0"/>
  </w:num>
  <w:num w:numId="15" w16cid:durableId="1877741634">
    <w:abstractNumId w:val="19"/>
  </w:num>
  <w:num w:numId="16" w16cid:durableId="1772120502">
    <w:abstractNumId w:val="12"/>
  </w:num>
  <w:num w:numId="17" w16cid:durableId="92668644">
    <w:abstractNumId w:val="10"/>
  </w:num>
  <w:num w:numId="18" w16cid:durableId="367537283">
    <w:abstractNumId w:val="15"/>
  </w:num>
  <w:num w:numId="19" w16cid:durableId="799886433">
    <w:abstractNumId w:val="22"/>
  </w:num>
  <w:num w:numId="20" w16cid:durableId="646276326">
    <w:abstractNumId w:val="14"/>
  </w:num>
  <w:num w:numId="21" w16cid:durableId="1746610554">
    <w:abstractNumId w:val="17"/>
  </w:num>
  <w:num w:numId="22" w16cid:durableId="807162046">
    <w:abstractNumId w:val="21"/>
  </w:num>
  <w:num w:numId="23" w16cid:durableId="310134983">
    <w:abstractNumId w:val="23"/>
  </w:num>
  <w:num w:numId="24" w16cid:durableId="223104577">
    <w:abstractNumId w:val="11"/>
  </w:num>
  <w:num w:numId="25" w16cid:durableId="13444786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style="mso-position-horizontal-relative:page;mso-position-vertical-relative:page" fill="f" fillcolor="white" stroke="f">
      <v:fill color="white" on="f"/>
      <v:stroke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FBB"/>
    <w:rsid w:val="00016B82"/>
    <w:rsid w:val="00021857"/>
    <w:rsid w:val="000258AF"/>
    <w:rsid w:val="00025B17"/>
    <w:rsid w:val="00026022"/>
    <w:rsid w:val="00044408"/>
    <w:rsid w:val="00047734"/>
    <w:rsid w:val="000522D7"/>
    <w:rsid w:val="00056530"/>
    <w:rsid w:val="0006031D"/>
    <w:rsid w:val="00067E8E"/>
    <w:rsid w:val="000713FA"/>
    <w:rsid w:val="000742FB"/>
    <w:rsid w:val="0008596E"/>
    <w:rsid w:val="0009211F"/>
    <w:rsid w:val="0009377F"/>
    <w:rsid w:val="000979E1"/>
    <w:rsid w:val="000A47AD"/>
    <w:rsid w:val="000A64F7"/>
    <w:rsid w:val="000C35A7"/>
    <w:rsid w:val="000D1D2F"/>
    <w:rsid w:val="000D3031"/>
    <w:rsid w:val="000F07C1"/>
    <w:rsid w:val="000F6AB0"/>
    <w:rsid w:val="00100E10"/>
    <w:rsid w:val="00105271"/>
    <w:rsid w:val="00111604"/>
    <w:rsid w:val="00111D22"/>
    <w:rsid w:val="00115233"/>
    <w:rsid w:val="00121505"/>
    <w:rsid w:val="0013101D"/>
    <w:rsid w:val="0014660B"/>
    <w:rsid w:val="00151940"/>
    <w:rsid w:val="00167394"/>
    <w:rsid w:val="00171F6D"/>
    <w:rsid w:val="00173EC2"/>
    <w:rsid w:val="001902F6"/>
    <w:rsid w:val="00190C6A"/>
    <w:rsid w:val="001924AE"/>
    <w:rsid w:val="001A2BAA"/>
    <w:rsid w:val="001A4C1C"/>
    <w:rsid w:val="001A4F10"/>
    <w:rsid w:val="001A6C4E"/>
    <w:rsid w:val="001C6A5C"/>
    <w:rsid w:val="001D0322"/>
    <w:rsid w:val="001D4F46"/>
    <w:rsid w:val="001F5830"/>
    <w:rsid w:val="00203639"/>
    <w:rsid w:val="00204A09"/>
    <w:rsid w:val="00217C7C"/>
    <w:rsid w:val="00221BFC"/>
    <w:rsid w:val="00224B41"/>
    <w:rsid w:val="0023232C"/>
    <w:rsid w:val="00235852"/>
    <w:rsid w:val="00242D6E"/>
    <w:rsid w:val="00244E11"/>
    <w:rsid w:val="0024588E"/>
    <w:rsid w:val="00245B49"/>
    <w:rsid w:val="00257609"/>
    <w:rsid w:val="002650EE"/>
    <w:rsid w:val="0026668F"/>
    <w:rsid w:val="00271064"/>
    <w:rsid w:val="002806D3"/>
    <w:rsid w:val="00282A8C"/>
    <w:rsid w:val="00285451"/>
    <w:rsid w:val="00290202"/>
    <w:rsid w:val="00291BE8"/>
    <w:rsid w:val="00296530"/>
    <w:rsid w:val="002A257F"/>
    <w:rsid w:val="002B00B4"/>
    <w:rsid w:val="002B11DE"/>
    <w:rsid w:val="002B3F1A"/>
    <w:rsid w:val="002B62F2"/>
    <w:rsid w:val="002C29D9"/>
    <w:rsid w:val="002C313C"/>
    <w:rsid w:val="002D73A3"/>
    <w:rsid w:val="002E4008"/>
    <w:rsid w:val="002F286A"/>
    <w:rsid w:val="002F3847"/>
    <w:rsid w:val="002F7A76"/>
    <w:rsid w:val="003059BF"/>
    <w:rsid w:val="00311928"/>
    <w:rsid w:val="00312293"/>
    <w:rsid w:val="0031661E"/>
    <w:rsid w:val="00330387"/>
    <w:rsid w:val="003432FE"/>
    <w:rsid w:val="003441CC"/>
    <w:rsid w:val="00346539"/>
    <w:rsid w:val="00350FAD"/>
    <w:rsid w:val="00356CF6"/>
    <w:rsid w:val="003634B3"/>
    <w:rsid w:val="00364E71"/>
    <w:rsid w:val="003720C7"/>
    <w:rsid w:val="0038074C"/>
    <w:rsid w:val="003A2FF5"/>
    <w:rsid w:val="003A607B"/>
    <w:rsid w:val="003B2D48"/>
    <w:rsid w:val="003B351C"/>
    <w:rsid w:val="003C28BD"/>
    <w:rsid w:val="003C45B6"/>
    <w:rsid w:val="003E68E1"/>
    <w:rsid w:val="003F1B91"/>
    <w:rsid w:val="004005AB"/>
    <w:rsid w:val="00407949"/>
    <w:rsid w:val="00422BCD"/>
    <w:rsid w:val="004232F8"/>
    <w:rsid w:val="004339DE"/>
    <w:rsid w:val="0043448A"/>
    <w:rsid w:val="00443A0E"/>
    <w:rsid w:val="0044658B"/>
    <w:rsid w:val="00452078"/>
    <w:rsid w:val="004757E8"/>
    <w:rsid w:val="0047680C"/>
    <w:rsid w:val="00476EBC"/>
    <w:rsid w:val="004770F7"/>
    <w:rsid w:val="00481A91"/>
    <w:rsid w:val="00483F60"/>
    <w:rsid w:val="004846A4"/>
    <w:rsid w:val="004A6AAF"/>
    <w:rsid w:val="004B1468"/>
    <w:rsid w:val="004C4715"/>
    <w:rsid w:val="004E7D9D"/>
    <w:rsid w:val="004F1AE6"/>
    <w:rsid w:val="004F2155"/>
    <w:rsid w:val="00501862"/>
    <w:rsid w:val="00503398"/>
    <w:rsid w:val="00504558"/>
    <w:rsid w:val="00504608"/>
    <w:rsid w:val="00505F24"/>
    <w:rsid w:val="0051049F"/>
    <w:rsid w:val="00511FD7"/>
    <w:rsid w:val="005166BB"/>
    <w:rsid w:val="005249F4"/>
    <w:rsid w:val="0054436A"/>
    <w:rsid w:val="0055524C"/>
    <w:rsid w:val="00560531"/>
    <w:rsid w:val="00581B70"/>
    <w:rsid w:val="0058746C"/>
    <w:rsid w:val="00590177"/>
    <w:rsid w:val="0059292A"/>
    <w:rsid w:val="005A159C"/>
    <w:rsid w:val="005C477A"/>
    <w:rsid w:val="005C71F1"/>
    <w:rsid w:val="005D45A5"/>
    <w:rsid w:val="005D4B18"/>
    <w:rsid w:val="005E50E3"/>
    <w:rsid w:val="005E7CC9"/>
    <w:rsid w:val="005F17F1"/>
    <w:rsid w:val="005F6E5A"/>
    <w:rsid w:val="00602972"/>
    <w:rsid w:val="00602BA6"/>
    <w:rsid w:val="00602DD5"/>
    <w:rsid w:val="00603D7F"/>
    <w:rsid w:val="00603F7E"/>
    <w:rsid w:val="00616B2C"/>
    <w:rsid w:val="00616E86"/>
    <w:rsid w:val="0062313D"/>
    <w:rsid w:val="0062624C"/>
    <w:rsid w:val="00626FC8"/>
    <w:rsid w:val="00627384"/>
    <w:rsid w:val="00633809"/>
    <w:rsid w:val="00642C18"/>
    <w:rsid w:val="00642D63"/>
    <w:rsid w:val="006555A4"/>
    <w:rsid w:val="00657F8F"/>
    <w:rsid w:val="006711B3"/>
    <w:rsid w:val="00677463"/>
    <w:rsid w:val="00682788"/>
    <w:rsid w:val="0069464E"/>
    <w:rsid w:val="0069619F"/>
    <w:rsid w:val="006A2969"/>
    <w:rsid w:val="006A750F"/>
    <w:rsid w:val="006B353B"/>
    <w:rsid w:val="006B374D"/>
    <w:rsid w:val="006C1EF1"/>
    <w:rsid w:val="006E2B82"/>
    <w:rsid w:val="006E3494"/>
    <w:rsid w:val="006E4170"/>
    <w:rsid w:val="006E47E1"/>
    <w:rsid w:val="006F5D9D"/>
    <w:rsid w:val="0070146D"/>
    <w:rsid w:val="00723E8C"/>
    <w:rsid w:val="0074433E"/>
    <w:rsid w:val="007508B8"/>
    <w:rsid w:val="00752C77"/>
    <w:rsid w:val="00754479"/>
    <w:rsid w:val="007649C9"/>
    <w:rsid w:val="00765658"/>
    <w:rsid w:val="00770ACC"/>
    <w:rsid w:val="0078487A"/>
    <w:rsid w:val="00784A7E"/>
    <w:rsid w:val="007949CC"/>
    <w:rsid w:val="007A3490"/>
    <w:rsid w:val="007B3FA1"/>
    <w:rsid w:val="007B56B9"/>
    <w:rsid w:val="007C43FB"/>
    <w:rsid w:val="007D7F58"/>
    <w:rsid w:val="007E7494"/>
    <w:rsid w:val="007F5EAC"/>
    <w:rsid w:val="008142E4"/>
    <w:rsid w:val="00817561"/>
    <w:rsid w:val="00824FCB"/>
    <w:rsid w:val="00834FAB"/>
    <w:rsid w:val="00834FF7"/>
    <w:rsid w:val="00842B50"/>
    <w:rsid w:val="00856F87"/>
    <w:rsid w:val="008649AB"/>
    <w:rsid w:val="00876292"/>
    <w:rsid w:val="008A07BB"/>
    <w:rsid w:val="008A76C0"/>
    <w:rsid w:val="008B4A5A"/>
    <w:rsid w:val="008C4FE4"/>
    <w:rsid w:val="008D321E"/>
    <w:rsid w:val="008E3B1F"/>
    <w:rsid w:val="008E5B66"/>
    <w:rsid w:val="008F4D05"/>
    <w:rsid w:val="00901FBB"/>
    <w:rsid w:val="00904943"/>
    <w:rsid w:val="009053DE"/>
    <w:rsid w:val="00924274"/>
    <w:rsid w:val="00934FA7"/>
    <w:rsid w:val="009501E2"/>
    <w:rsid w:val="00950731"/>
    <w:rsid w:val="009725BC"/>
    <w:rsid w:val="00972A70"/>
    <w:rsid w:val="009758A7"/>
    <w:rsid w:val="009865A9"/>
    <w:rsid w:val="00993AA3"/>
    <w:rsid w:val="009A1833"/>
    <w:rsid w:val="009A39A3"/>
    <w:rsid w:val="009B1FC9"/>
    <w:rsid w:val="009B453F"/>
    <w:rsid w:val="009C74AD"/>
    <w:rsid w:val="009D4167"/>
    <w:rsid w:val="009D7FAA"/>
    <w:rsid w:val="009E2034"/>
    <w:rsid w:val="009F117E"/>
    <w:rsid w:val="00A00F6A"/>
    <w:rsid w:val="00A0239E"/>
    <w:rsid w:val="00A21D09"/>
    <w:rsid w:val="00A222D0"/>
    <w:rsid w:val="00A23C12"/>
    <w:rsid w:val="00A24329"/>
    <w:rsid w:val="00A43481"/>
    <w:rsid w:val="00A44F29"/>
    <w:rsid w:val="00A47AC3"/>
    <w:rsid w:val="00A57C57"/>
    <w:rsid w:val="00A62A31"/>
    <w:rsid w:val="00A831A0"/>
    <w:rsid w:val="00A84B35"/>
    <w:rsid w:val="00A84CB0"/>
    <w:rsid w:val="00A86023"/>
    <w:rsid w:val="00A90B2A"/>
    <w:rsid w:val="00A92173"/>
    <w:rsid w:val="00AA0FEB"/>
    <w:rsid w:val="00AA4ADD"/>
    <w:rsid w:val="00AB1EF4"/>
    <w:rsid w:val="00AC4508"/>
    <w:rsid w:val="00AC4A8B"/>
    <w:rsid w:val="00AC4F23"/>
    <w:rsid w:val="00AD0E78"/>
    <w:rsid w:val="00AD2577"/>
    <w:rsid w:val="00AD3782"/>
    <w:rsid w:val="00AE088A"/>
    <w:rsid w:val="00AE60C2"/>
    <w:rsid w:val="00AF694B"/>
    <w:rsid w:val="00B13160"/>
    <w:rsid w:val="00B17E5E"/>
    <w:rsid w:val="00B4641B"/>
    <w:rsid w:val="00B55535"/>
    <w:rsid w:val="00B62115"/>
    <w:rsid w:val="00B73CFE"/>
    <w:rsid w:val="00B84F41"/>
    <w:rsid w:val="00B9187D"/>
    <w:rsid w:val="00B94CE4"/>
    <w:rsid w:val="00BA63DE"/>
    <w:rsid w:val="00BB2347"/>
    <w:rsid w:val="00BB4FC6"/>
    <w:rsid w:val="00BB637D"/>
    <w:rsid w:val="00BC6D2D"/>
    <w:rsid w:val="00BC7753"/>
    <w:rsid w:val="00BD1DE5"/>
    <w:rsid w:val="00BD2BEE"/>
    <w:rsid w:val="00BD61E6"/>
    <w:rsid w:val="00BE2EDE"/>
    <w:rsid w:val="00BF7189"/>
    <w:rsid w:val="00C0141C"/>
    <w:rsid w:val="00C02D2D"/>
    <w:rsid w:val="00C22CCB"/>
    <w:rsid w:val="00C30527"/>
    <w:rsid w:val="00C32611"/>
    <w:rsid w:val="00C33274"/>
    <w:rsid w:val="00C33D60"/>
    <w:rsid w:val="00C46603"/>
    <w:rsid w:val="00C54127"/>
    <w:rsid w:val="00C653A1"/>
    <w:rsid w:val="00C81EEE"/>
    <w:rsid w:val="00C86145"/>
    <w:rsid w:val="00C86DDE"/>
    <w:rsid w:val="00C91954"/>
    <w:rsid w:val="00C92237"/>
    <w:rsid w:val="00C93674"/>
    <w:rsid w:val="00C976A5"/>
    <w:rsid w:val="00CA053F"/>
    <w:rsid w:val="00CA3CAB"/>
    <w:rsid w:val="00CA6948"/>
    <w:rsid w:val="00CB660E"/>
    <w:rsid w:val="00CC37F9"/>
    <w:rsid w:val="00CD2B1C"/>
    <w:rsid w:val="00CF3BDA"/>
    <w:rsid w:val="00CF72AA"/>
    <w:rsid w:val="00D01DC0"/>
    <w:rsid w:val="00D02C4C"/>
    <w:rsid w:val="00D051F5"/>
    <w:rsid w:val="00D109DE"/>
    <w:rsid w:val="00D124D0"/>
    <w:rsid w:val="00D15EEC"/>
    <w:rsid w:val="00D17E2E"/>
    <w:rsid w:val="00D447DC"/>
    <w:rsid w:val="00D60046"/>
    <w:rsid w:val="00D6072E"/>
    <w:rsid w:val="00D608DB"/>
    <w:rsid w:val="00D73AA9"/>
    <w:rsid w:val="00D753DA"/>
    <w:rsid w:val="00D75AEE"/>
    <w:rsid w:val="00D916EE"/>
    <w:rsid w:val="00D95C25"/>
    <w:rsid w:val="00D970BB"/>
    <w:rsid w:val="00DA4AB9"/>
    <w:rsid w:val="00DA70D1"/>
    <w:rsid w:val="00DB0277"/>
    <w:rsid w:val="00DB05C5"/>
    <w:rsid w:val="00DB2E22"/>
    <w:rsid w:val="00DB38BA"/>
    <w:rsid w:val="00DB64CC"/>
    <w:rsid w:val="00DC0488"/>
    <w:rsid w:val="00DC1E7A"/>
    <w:rsid w:val="00DC433A"/>
    <w:rsid w:val="00DF3CC4"/>
    <w:rsid w:val="00E034F1"/>
    <w:rsid w:val="00E036B1"/>
    <w:rsid w:val="00E053E5"/>
    <w:rsid w:val="00E10195"/>
    <w:rsid w:val="00E23AFF"/>
    <w:rsid w:val="00E2610E"/>
    <w:rsid w:val="00E26908"/>
    <w:rsid w:val="00E4298E"/>
    <w:rsid w:val="00E73B4B"/>
    <w:rsid w:val="00E854C3"/>
    <w:rsid w:val="00E87355"/>
    <w:rsid w:val="00E911EF"/>
    <w:rsid w:val="00EC7F9E"/>
    <w:rsid w:val="00ED19B5"/>
    <w:rsid w:val="00ED2A6A"/>
    <w:rsid w:val="00ED6E19"/>
    <w:rsid w:val="00EE28D1"/>
    <w:rsid w:val="00EE4910"/>
    <w:rsid w:val="00EE4F95"/>
    <w:rsid w:val="00F00025"/>
    <w:rsid w:val="00F01B72"/>
    <w:rsid w:val="00F03812"/>
    <w:rsid w:val="00F101D5"/>
    <w:rsid w:val="00F121B8"/>
    <w:rsid w:val="00F1383D"/>
    <w:rsid w:val="00F1771B"/>
    <w:rsid w:val="00F22D5A"/>
    <w:rsid w:val="00F26305"/>
    <w:rsid w:val="00F30F31"/>
    <w:rsid w:val="00F33307"/>
    <w:rsid w:val="00F33AC5"/>
    <w:rsid w:val="00F37F43"/>
    <w:rsid w:val="00F42EDD"/>
    <w:rsid w:val="00F47C7C"/>
    <w:rsid w:val="00F57638"/>
    <w:rsid w:val="00F73163"/>
    <w:rsid w:val="00F767F7"/>
    <w:rsid w:val="00F81DC1"/>
    <w:rsid w:val="00F82B3D"/>
    <w:rsid w:val="00F845F2"/>
    <w:rsid w:val="00F909D6"/>
    <w:rsid w:val="00F90BDE"/>
    <w:rsid w:val="00F95783"/>
    <w:rsid w:val="00F965DF"/>
    <w:rsid w:val="00FA057F"/>
    <w:rsid w:val="00FA79DA"/>
    <w:rsid w:val="00FB215A"/>
    <w:rsid w:val="00FC2EF6"/>
    <w:rsid w:val="00FC69D8"/>
    <w:rsid w:val="00FD41C8"/>
    <w:rsid w:val="00FE100D"/>
    <w:rsid w:val="00FE6B3C"/>
    <w:rsid w:val="00FF1CEE"/>
    <w:rsid w:val="0EC57AA1"/>
    <w:rsid w:val="30AB4155"/>
    <w:rsid w:val="6BDF978E"/>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v:textbox inset="0,0,0,0"/>
    </o:shapedefaults>
    <o:shapelayout v:ext="edit">
      <o:idmap v:ext="edit" data="2"/>
    </o:shapelayout>
  </w:shapeDefaults>
  <w:decimalSymbol w:val=","/>
  <w:listSeparator w:val=";"/>
  <w14:docId w14:val="13E1392B"/>
  <w15:docId w15:val="{4C9B3B27-2DFA-416F-A5E2-95850B990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56B9"/>
    <w:rPr>
      <w:rFonts w:ascii="Trebuchet MS" w:hAnsi="Trebuchet MS"/>
      <w:szCs w:val="24"/>
      <w:lang w:val="en-US" w:eastAsia="en-GB"/>
    </w:rPr>
  </w:style>
  <w:style w:type="paragraph" w:styleId="Ttulo1">
    <w:name w:val="heading 1"/>
    <w:basedOn w:val="Normal"/>
    <w:next w:val="Normal"/>
    <w:qFormat/>
    <w:rsid w:val="00C0141C"/>
    <w:pPr>
      <w:keepNext/>
      <w:numPr>
        <w:numId w:val="4"/>
      </w:numPr>
      <w:spacing w:before="240" w:line="280" w:lineRule="exact"/>
      <w:outlineLvl w:val="0"/>
    </w:pPr>
    <w:rPr>
      <w:rFonts w:cs="Arial"/>
      <w:b/>
      <w:bCs/>
      <w:kern w:val="32"/>
      <w:sz w:val="28"/>
      <w:szCs w:val="32"/>
    </w:rPr>
  </w:style>
  <w:style w:type="paragraph" w:styleId="Ttulo2">
    <w:name w:val="heading 2"/>
    <w:basedOn w:val="Normal"/>
    <w:next w:val="Normal"/>
    <w:qFormat/>
    <w:rsid w:val="00C0141C"/>
    <w:pPr>
      <w:keepNext/>
      <w:numPr>
        <w:ilvl w:val="1"/>
        <w:numId w:val="4"/>
      </w:numPr>
      <w:spacing w:line="280" w:lineRule="exact"/>
      <w:outlineLvl w:val="1"/>
    </w:pPr>
    <w:rPr>
      <w:rFonts w:cs="Arial"/>
      <w:b/>
      <w:bCs/>
      <w:iCs/>
      <w:szCs w:val="28"/>
    </w:rPr>
  </w:style>
  <w:style w:type="paragraph" w:styleId="Ttulo3">
    <w:name w:val="heading 3"/>
    <w:basedOn w:val="Normal"/>
    <w:next w:val="Normal"/>
    <w:qFormat/>
    <w:rsid w:val="00C0141C"/>
    <w:pPr>
      <w:keepNext/>
      <w:numPr>
        <w:ilvl w:val="2"/>
        <w:numId w:val="4"/>
      </w:numPr>
      <w:spacing w:after="120" w:line="240" w:lineRule="exact"/>
      <w:outlineLvl w:val="2"/>
    </w:pPr>
    <w:rPr>
      <w:rFonts w:cs="Arial"/>
      <w:b/>
      <w:bCs/>
      <w:szCs w:val="26"/>
    </w:rPr>
  </w:style>
  <w:style w:type="paragraph" w:styleId="Ttulo4">
    <w:name w:val="heading 4"/>
    <w:basedOn w:val="Normal"/>
    <w:next w:val="Normal"/>
    <w:qFormat/>
    <w:rsid w:val="001902F6"/>
    <w:pPr>
      <w:keepNext/>
      <w:numPr>
        <w:ilvl w:val="3"/>
        <w:numId w:val="4"/>
      </w:numPr>
      <w:spacing w:before="240" w:after="60"/>
      <w:outlineLvl w:val="3"/>
    </w:pPr>
    <w:rPr>
      <w:rFonts w:ascii="Times New Roman" w:hAnsi="Times New Roman"/>
      <w:b/>
      <w:bCs/>
      <w:sz w:val="28"/>
      <w:szCs w:val="28"/>
    </w:rPr>
  </w:style>
  <w:style w:type="paragraph" w:styleId="Ttulo5">
    <w:name w:val="heading 5"/>
    <w:basedOn w:val="Normal"/>
    <w:next w:val="Normal"/>
    <w:qFormat/>
    <w:rsid w:val="001902F6"/>
    <w:pPr>
      <w:numPr>
        <w:ilvl w:val="4"/>
        <w:numId w:val="4"/>
      </w:numPr>
      <w:spacing w:before="240" w:after="60"/>
      <w:outlineLvl w:val="4"/>
    </w:pPr>
    <w:rPr>
      <w:b/>
      <w:bCs/>
      <w:i/>
      <w:iCs/>
      <w:sz w:val="26"/>
      <w:szCs w:val="26"/>
    </w:rPr>
  </w:style>
  <w:style w:type="paragraph" w:styleId="Ttulo6">
    <w:name w:val="heading 6"/>
    <w:basedOn w:val="Normal"/>
    <w:next w:val="Normal"/>
    <w:qFormat/>
    <w:rsid w:val="001902F6"/>
    <w:pPr>
      <w:numPr>
        <w:ilvl w:val="5"/>
        <w:numId w:val="4"/>
      </w:numPr>
      <w:spacing w:before="240" w:after="60"/>
      <w:outlineLvl w:val="5"/>
    </w:pPr>
    <w:rPr>
      <w:rFonts w:ascii="Times New Roman" w:hAnsi="Times New Roman"/>
      <w:b/>
      <w:bCs/>
      <w:sz w:val="22"/>
      <w:szCs w:val="22"/>
    </w:rPr>
  </w:style>
  <w:style w:type="paragraph" w:styleId="Ttulo7">
    <w:name w:val="heading 7"/>
    <w:basedOn w:val="Normal"/>
    <w:next w:val="Normal"/>
    <w:qFormat/>
    <w:rsid w:val="001902F6"/>
    <w:pPr>
      <w:numPr>
        <w:ilvl w:val="6"/>
        <w:numId w:val="4"/>
      </w:numPr>
      <w:spacing w:before="240" w:after="60"/>
      <w:outlineLvl w:val="6"/>
    </w:pPr>
    <w:rPr>
      <w:rFonts w:ascii="Times New Roman" w:hAnsi="Times New Roman"/>
      <w:sz w:val="24"/>
    </w:rPr>
  </w:style>
  <w:style w:type="paragraph" w:styleId="Ttulo8">
    <w:name w:val="heading 8"/>
    <w:basedOn w:val="Normal"/>
    <w:next w:val="Normal"/>
    <w:qFormat/>
    <w:rsid w:val="001902F6"/>
    <w:pPr>
      <w:numPr>
        <w:ilvl w:val="7"/>
        <w:numId w:val="4"/>
      </w:numPr>
      <w:spacing w:before="240" w:after="60"/>
      <w:outlineLvl w:val="7"/>
    </w:pPr>
    <w:rPr>
      <w:rFonts w:ascii="Times New Roman" w:hAnsi="Times New Roman"/>
      <w:i/>
      <w:iCs/>
      <w:sz w:val="24"/>
    </w:rPr>
  </w:style>
  <w:style w:type="paragraph" w:styleId="Ttulo9">
    <w:name w:val="heading 9"/>
    <w:basedOn w:val="Normal"/>
    <w:next w:val="Normal"/>
    <w:qFormat/>
    <w:rsid w:val="001902F6"/>
    <w:pPr>
      <w:numPr>
        <w:ilvl w:val="8"/>
        <w:numId w:val="4"/>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DONormal">
    <w:name w:val="BDO_Normal"/>
    <w:link w:val="BDONormalChar"/>
    <w:rsid w:val="003634B3"/>
    <w:rPr>
      <w:rFonts w:ascii="Trebuchet MS" w:hAnsi="Trebuchet MS"/>
      <w:szCs w:val="24"/>
      <w:lang w:val="en-US" w:eastAsia="en-GB"/>
    </w:rPr>
  </w:style>
  <w:style w:type="paragraph" w:customStyle="1" w:styleId="BDOHeadingOne">
    <w:name w:val="BDO_Heading One"/>
    <w:basedOn w:val="BDONormal"/>
    <w:rsid w:val="00A23C12"/>
    <w:pPr>
      <w:spacing w:before="240" w:line="280" w:lineRule="exact"/>
      <w:outlineLvl w:val="0"/>
    </w:pPr>
    <w:rPr>
      <w:b/>
      <w:sz w:val="28"/>
    </w:rPr>
  </w:style>
  <w:style w:type="paragraph" w:customStyle="1" w:styleId="BDOHeadingTwo">
    <w:name w:val="BDO_Heading Two"/>
    <w:basedOn w:val="BDONormal"/>
    <w:rsid w:val="00A23C12"/>
    <w:pPr>
      <w:spacing w:line="280" w:lineRule="exact"/>
      <w:outlineLvl w:val="1"/>
    </w:pPr>
    <w:rPr>
      <w:b/>
    </w:rPr>
  </w:style>
  <w:style w:type="paragraph" w:customStyle="1" w:styleId="BDOBodyText">
    <w:name w:val="BDO_Body Text"/>
    <w:basedOn w:val="BDONormal"/>
    <w:rsid w:val="00CB660E"/>
    <w:pPr>
      <w:spacing w:after="140" w:line="280" w:lineRule="exact"/>
    </w:pPr>
  </w:style>
  <w:style w:type="paragraph" w:customStyle="1" w:styleId="BDOBulletOne">
    <w:name w:val="BDO_Bullet One"/>
    <w:basedOn w:val="BDONormal"/>
    <w:rsid w:val="00CB660E"/>
    <w:pPr>
      <w:numPr>
        <w:numId w:val="1"/>
      </w:numPr>
      <w:spacing w:after="140" w:line="280" w:lineRule="exact"/>
      <w:contextualSpacing/>
    </w:pPr>
  </w:style>
  <w:style w:type="paragraph" w:styleId="Encabezado">
    <w:name w:val="header"/>
    <w:basedOn w:val="Normal"/>
    <w:semiHidden/>
    <w:rsid w:val="000F6AB0"/>
    <w:pPr>
      <w:tabs>
        <w:tab w:val="center" w:pos="4153"/>
        <w:tab w:val="right" w:pos="8306"/>
      </w:tabs>
    </w:pPr>
  </w:style>
  <w:style w:type="paragraph" w:styleId="Piedepgina">
    <w:name w:val="footer"/>
    <w:basedOn w:val="Normal"/>
    <w:link w:val="PiedepginaCar"/>
    <w:uiPriority w:val="99"/>
    <w:rsid w:val="000F6AB0"/>
    <w:pPr>
      <w:tabs>
        <w:tab w:val="center" w:pos="4153"/>
        <w:tab w:val="right" w:pos="8306"/>
      </w:tabs>
    </w:pPr>
  </w:style>
  <w:style w:type="numbering" w:styleId="111111">
    <w:name w:val="Outline List 2"/>
    <w:basedOn w:val="Sinlista"/>
    <w:semiHidden/>
    <w:rsid w:val="001902F6"/>
    <w:pPr>
      <w:numPr>
        <w:numId w:val="2"/>
      </w:numPr>
    </w:pPr>
  </w:style>
  <w:style w:type="numbering" w:styleId="1ai">
    <w:name w:val="Outline List 1"/>
    <w:basedOn w:val="Sinlista"/>
    <w:semiHidden/>
    <w:rsid w:val="001902F6"/>
    <w:pPr>
      <w:numPr>
        <w:numId w:val="3"/>
      </w:numPr>
    </w:pPr>
  </w:style>
  <w:style w:type="numbering" w:styleId="ArtculoSeccin">
    <w:name w:val="Outline List 3"/>
    <w:basedOn w:val="Sinlista"/>
    <w:semiHidden/>
    <w:rsid w:val="001902F6"/>
    <w:pPr>
      <w:numPr>
        <w:numId w:val="4"/>
      </w:numPr>
    </w:pPr>
  </w:style>
  <w:style w:type="paragraph" w:customStyle="1" w:styleId="BDOAddress">
    <w:name w:val="BDO_Address"/>
    <w:basedOn w:val="BDONormal"/>
    <w:rsid w:val="00F37F43"/>
    <w:pPr>
      <w:spacing w:line="170" w:lineRule="exact"/>
    </w:pPr>
    <w:rPr>
      <w:color w:val="786860"/>
      <w:sz w:val="16"/>
    </w:rPr>
  </w:style>
  <w:style w:type="paragraph" w:customStyle="1" w:styleId="BDOAddressBold">
    <w:name w:val="BDO_Address (Bold)"/>
    <w:basedOn w:val="BDOAddress"/>
    <w:rsid w:val="000F6AB0"/>
    <w:rPr>
      <w:b/>
    </w:rPr>
  </w:style>
  <w:style w:type="paragraph" w:customStyle="1" w:styleId="BDOFooter">
    <w:name w:val="BDO_Footer"/>
    <w:basedOn w:val="BDONormal"/>
    <w:rsid w:val="00F37F43"/>
    <w:pPr>
      <w:spacing w:line="144" w:lineRule="exact"/>
    </w:pPr>
    <w:rPr>
      <w:color w:val="786860"/>
      <w:sz w:val="12"/>
    </w:rPr>
  </w:style>
  <w:style w:type="paragraph" w:styleId="Textodeglobo">
    <w:name w:val="Balloon Text"/>
    <w:basedOn w:val="Normal"/>
    <w:semiHidden/>
    <w:rsid w:val="001902F6"/>
    <w:rPr>
      <w:rFonts w:ascii="Tahoma" w:hAnsi="Tahoma" w:cs="Tahoma"/>
      <w:sz w:val="16"/>
      <w:szCs w:val="16"/>
    </w:rPr>
  </w:style>
  <w:style w:type="paragraph" w:styleId="Textodebloque">
    <w:name w:val="Block Text"/>
    <w:basedOn w:val="Normal"/>
    <w:semiHidden/>
    <w:rsid w:val="001902F6"/>
    <w:pPr>
      <w:spacing w:after="120"/>
      <w:ind w:left="1440" w:right="1440"/>
    </w:pPr>
  </w:style>
  <w:style w:type="paragraph" w:styleId="Textoindependiente">
    <w:name w:val="Body Text"/>
    <w:basedOn w:val="Normal"/>
    <w:semiHidden/>
    <w:rsid w:val="001902F6"/>
    <w:pPr>
      <w:spacing w:after="120"/>
    </w:pPr>
  </w:style>
  <w:style w:type="paragraph" w:styleId="Textoindependiente2">
    <w:name w:val="Body Text 2"/>
    <w:basedOn w:val="Normal"/>
    <w:semiHidden/>
    <w:rsid w:val="001902F6"/>
    <w:pPr>
      <w:spacing w:after="120" w:line="480" w:lineRule="auto"/>
    </w:pPr>
  </w:style>
  <w:style w:type="paragraph" w:styleId="Textoindependiente3">
    <w:name w:val="Body Text 3"/>
    <w:basedOn w:val="Normal"/>
    <w:semiHidden/>
    <w:rsid w:val="001902F6"/>
    <w:pPr>
      <w:spacing w:after="120"/>
    </w:pPr>
    <w:rPr>
      <w:sz w:val="16"/>
      <w:szCs w:val="16"/>
    </w:rPr>
  </w:style>
  <w:style w:type="paragraph" w:styleId="Textoindependienteprimerasangra">
    <w:name w:val="Body Text First Indent"/>
    <w:basedOn w:val="Textoindependiente"/>
    <w:semiHidden/>
    <w:rsid w:val="001902F6"/>
    <w:pPr>
      <w:ind w:firstLine="210"/>
    </w:pPr>
  </w:style>
  <w:style w:type="paragraph" w:styleId="Sangradetextonormal">
    <w:name w:val="Body Text Indent"/>
    <w:basedOn w:val="Normal"/>
    <w:semiHidden/>
    <w:rsid w:val="001902F6"/>
    <w:pPr>
      <w:spacing w:after="120"/>
      <w:ind w:left="283"/>
    </w:pPr>
  </w:style>
  <w:style w:type="paragraph" w:styleId="Textoindependienteprimerasangra2">
    <w:name w:val="Body Text First Indent 2"/>
    <w:basedOn w:val="Sangradetextonormal"/>
    <w:semiHidden/>
    <w:rsid w:val="001902F6"/>
    <w:pPr>
      <w:ind w:firstLine="210"/>
    </w:pPr>
  </w:style>
  <w:style w:type="paragraph" w:styleId="Sangra2detindependiente">
    <w:name w:val="Body Text Indent 2"/>
    <w:basedOn w:val="Normal"/>
    <w:semiHidden/>
    <w:rsid w:val="001902F6"/>
    <w:pPr>
      <w:spacing w:after="120" w:line="480" w:lineRule="auto"/>
      <w:ind w:left="283"/>
    </w:pPr>
  </w:style>
  <w:style w:type="paragraph" w:styleId="Sangra3detindependiente">
    <w:name w:val="Body Text Indent 3"/>
    <w:basedOn w:val="Normal"/>
    <w:semiHidden/>
    <w:rsid w:val="001902F6"/>
    <w:pPr>
      <w:spacing w:after="120"/>
      <w:ind w:left="283"/>
    </w:pPr>
    <w:rPr>
      <w:sz w:val="16"/>
      <w:szCs w:val="16"/>
    </w:rPr>
  </w:style>
  <w:style w:type="paragraph" w:styleId="Descripcin">
    <w:name w:val="caption"/>
    <w:basedOn w:val="Normal"/>
    <w:next w:val="Normal"/>
    <w:qFormat/>
    <w:rsid w:val="001902F6"/>
    <w:rPr>
      <w:b/>
      <w:bCs/>
      <w:szCs w:val="20"/>
    </w:rPr>
  </w:style>
  <w:style w:type="paragraph" w:styleId="Cierre">
    <w:name w:val="Closing"/>
    <w:basedOn w:val="Normal"/>
    <w:semiHidden/>
    <w:rsid w:val="001902F6"/>
    <w:pPr>
      <w:ind w:left="4252"/>
    </w:pPr>
  </w:style>
  <w:style w:type="character" w:styleId="Refdecomentario">
    <w:name w:val="annotation reference"/>
    <w:basedOn w:val="Fuentedeprrafopredeter"/>
    <w:semiHidden/>
    <w:rsid w:val="001902F6"/>
    <w:rPr>
      <w:sz w:val="16"/>
      <w:szCs w:val="16"/>
    </w:rPr>
  </w:style>
  <w:style w:type="paragraph" w:styleId="Textocomentario">
    <w:name w:val="annotation text"/>
    <w:basedOn w:val="Normal"/>
    <w:semiHidden/>
    <w:rsid w:val="001902F6"/>
    <w:rPr>
      <w:szCs w:val="20"/>
    </w:rPr>
  </w:style>
  <w:style w:type="paragraph" w:styleId="Asuntodelcomentario">
    <w:name w:val="annotation subject"/>
    <w:basedOn w:val="Textocomentario"/>
    <w:next w:val="Textocomentario"/>
    <w:semiHidden/>
    <w:rsid w:val="001902F6"/>
    <w:rPr>
      <w:b/>
      <w:bCs/>
    </w:rPr>
  </w:style>
  <w:style w:type="paragraph" w:styleId="Fecha">
    <w:name w:val="Date"/>
    <w:basedOn w:val="Normal"/>
    <w:next w:val="Normal"/>
    <w:semiHidden/>
    <w:rsid w:val="001902F6"/>
  </w:style>
  <w:style w:type="paragraph" w:styleId="Mapadeldocumento">
    <w:name w:val="Document Map"/>
    <w:basedOn w:val="Normal"/>
    <w:semiHidden/>
    <w:rsid w:val="001902F6"/>
    <w:pPr>
      <w:shd w:val="clear" w:color="auto" w:fill="000080"/>
    </w:pPr>
    <w:rPr>
      <w:rFonts w:ascii="Tahoma" w:hAnsi="Tahoma" w:cs="Tahoma"/>
      <w:szCs w:val="20"/>
    </w:rPr>
  </w:style>
  <w:style w:type="paragraph" w:styleId="Firmadecorreoelectrnico">
    <w:name w:val="E-mail Signature"/>
    <w:basedOn w:val="Normal"/>
    <w:semiHidden/>
    <w:rsid w:val="001902F6"/>
  </w:style>
  <w:style w:type="character" w:styleId="nfasis">
    <w:name w:val="Emphasis"/>
    <w:basedOn w:val="Fuentedeprrafopredeter"/>
    <w:qFormat/>
    <w:rsid w:val="001902F6"/>
    <w:rPr>
      <w:i/>
      <w:iCs/>
    </w:rPr>
  </w:style>
  <w:style w:type="character" w:styleId="Refdenotaalfinal">
    <w:name w:val="endnote reference"/>
    <w:basedOn w:val="Fuentedeprrafopredeter"/>
    <w:semiHidden/>
    <w:rsid w:val="001902F6"/>
    <w:rPr>
      <w:vertAlign w:val="superscript"/>
    </w:rPr>
  </w:style>
  <w:style w:type="paragraph" w:styleId="Textonotaalfinal">
    <w:name w:val="endnote text"/>
    <w:basedOn w:val="Normal"/>
    <w:semiHidden/>
    <w:rsid w:val="001902F6"/>
    <w:rPr>
      <w:szCs w:val="20"/>
    </w:rPr>
  </w:style>
  <w:style w:type="paragraph" w:styleId="Direccinsobre">
    <w:name w:val="envelope address"/>
    <w:basedOn w:val="Normal"/>
    <w:semiHidden/>
    <w:rsid w:val="001902F6"/>
    <w:pPr>
      <w:framePr w:w="7920" w:h="1980" w:hRule="exact" w:hSpace="180" w:wrap="auto" w:hAnchor="page" w:xAlign="center" w:yAlign="bottom"/>
      <w:ind w:left="2880"/>
    </w:pPr>
    <w:rPr>
      <w:rFonts w:ascii="Arial" w:hAnsi="Arial" w:cs="Arial"/>
      <w:sz w:val="24"/>
    </w:rPr>
  </w:style>
  <w:style w:type="paragraph" w:styleId="Remitedesobre">
    <w:name w:val="envelope return"/>
    <w:basedOn w:val="Normal"/>
    <w:semiHidden/>
    <w:rsid w:val="001902F6"/>
    <w:rPr>
      <w:rFonts w:ascii="Arial" w:hAnsi="Arial" w:cs="Arial"/>
      <w:szCs w:val="20"/>
    </w:rPr>
  </w:style>
  <w:style w:type="character" w:styleId="Hipervnculovisitado">
    <w:name w:val="FollowedHyperlink"/>
    <w:basedOn w:val="Fuentedeprrafopredeter"/>
    <w:semiHidden/>
    <w:rsid w:val="001902F6"/>
    <w:rPr>
      <w:color w:val="800080"/>
      <w:u w:val="single"/>
    </w:rPr>
  </w:style>
  <w:style w:type="character" w:styleId="Refdenotaalpie">
    <w:name w:val="footnote reference"/>
    <w:basedOn w:val="Fuentedeprrafopredeter"/>
    <w:semiHidden/>
    <w:rsid w:val="001902F6"/>
    <w:rPr>
      <w:vertAlign w:val="superscript"/>
    </w:rPr>
  </w:style>
  <w:style w:type="paragraph" w:styleId="Textonotapie">
    <w:name w:val="footnote text"/>
    <w:basedOn w:val="Normal"/>
    <w:semiHidden/>
    <w:rsid w:val="001902F6"/>
    <w:rPr>
      <w:szCs w:val="20"/>
    </w:rPr>
  </w:style>
  <w:style w:type="character" w:styleId="AcrnimoHTML">
    <w:name w:val="HTML Acronym"/>
    <w:basedOn w:val="Fuentedeprrafopredeter"/>
    <w:semiHidden/>
    <w:rsid w:val="001902F6"/>
  </w:style>
  <w:style w:type="paragraph" w:styleId="DireccinHTML">
    <w:name w:val="HTML Address"/>
    <w:basedOn w:val="Normal"/>
    <w:semiHidden/>
    <w:rsid w:val="001902F6"/>
    <w:rPr>
      <w:i/>
      <w:iCs/>
    </w:rPr>
  </w:style>
  <w:style w:type="character" w:styleId="CitaHTML">
    <w:name w:val="HTML Cite"/>
    <w:basedOn w:val="Fuentedeprrafopredeter"/>
    <w:semiHidden/>
    <w:rsid w:val="001902F6"/>
    <w:rPr>
      <w:i/>
      <w:iCs/>
    </w:rPr>
  </w:style>
  <w:style w:type="character" w:styleId="CdigoHTML">
    <w:name w:val="HTML Code"/>
    <w:basedOn w:val="Fuentedeprrafopredeter"/>
    <w:semiHidden/>
    <w:rsid w:val="001902F6"/>
    <w:rPr>
      <w:rFonts w:ascii="Courier New" w:hAnsi="Courier New" w:cs="Courier New"/>
      <w:sz w:val="20"/>
      <w:szCs w:val="20"/>
    </w:rPr>
  </w:style>
  <w:style w:type="character" w:styleId="DefinicinHTML">
    <w:name w:val="HTML Definition"/>
    <w:basedOn w:val="Fuentedeprrafopredeter"/>
    <w:semiHidden/>
    <w:rsid w:val="001902F6"/>
    <w:rPr>
      <w:i/>
      <w:iCs/>
    </w:rPr>
  </w:style>
  <w:style w:type="character" w:styleId="TecladoHTML">
    <w:name w:val="HTML Keyboard"/>
    <w:basedOn w:val="Fuentedeprrafopredeter"/>
    <w:semiHidden/>
    <w:rsid w:val="001902F6"/>
    <w:rPr>
      <w:rFonts w:ascii="Courier New" w:hAnsi="Courier New" w:cs="Courier New"/>
      <w:sz w:val="20"/>
      <w:szCs w:val="20"/>
    </w:rPr>
  </w:style>
  <w:style w:type="paragraph" w:styleId="HTMLconformatoprevio">
    <w:name w:val="HTML Preformatted"/>
    <w:basedOn w:val="Normal"/>
    <w:semiHidden/>
    <w:rsid w:val="001902F6"/>
    <w:rPr>
      <w:rFonts w:ascii="Courier New" w:hAnsi="Courier New" w:cs="Courier New"/>
      <w:szCs w:val="20"/>
    </w:rPr>
  </w:style>
  <w:style w:type="character" w:styleId="EjemplodeHTML">
    <w:name w:val="HTML Sample"/>
    <w:basedOn w:val="Fuentedeprrafopredeter"/>
    <w:semiHidden/>
    <w:rsid w:val="001902F6"/>
    <w:rPr>
      <w:rFonts w:ascii="Courier New" w:hAnsi="Courier New" w:cs="Courier New"/>
    </w:rPr>
  </w:style>
  <w:style w:type="character" w:styleId="MquinadeescribirHTML">
    <w:name w:val="HTML Typewriter"/>
    <w:basedOn w:val="Fuentedeprrafopredeter"/>
    <w:semiHidden/>
    <w:rsid w:val="001902F6"/>
    <w:rPr>
      <w:rFonts w:ascii="Courier New" w:hAnsi="Courier New" w:cs="Courier New"/>
      <w:sz w:val="20"/>
      <w:szCs w:val="20"/>
    </w:rPr>
  </w:style>
  <w:style w:type="character" w:styleId="VariableHTML">
    <w:name w:val="HTML Variable"/>
    <w:basedOn w:val="Fuentedeprrafopredeter"/>
    <w:semiHidden/>
    <w:rsid w:val="001902F6"/>
    <w:rPr>
      <w:i/>
      <w:iCs/>
    </w:rPr>
  </w:style>
  <w:style w:type="character" w:styleId="Hipervnculo">
    <w:name w:val="Hyperlink"/>
    <w:basedOn w:val="Fuentedeprrafopredeter"/>
    <w:semiHidden/>
    <w:rsid w:val="001902F6"/>
    <w:rPr>
      <w:color w:val="0000FF"/>
      <w:u w:val="single"/>
    </w:rPr>
  </w:style>
  <w:style w:type="paragraph" w:styleId="ndice1">
    <w:name w:val="index 1"/>
    <w:basedOn w:val="Normal"/>
    <w:next w:val="Normal"/>
    <w:autoRedefine/>
    <w:semiHidden/>
    <w:rsid w:val="001902F6"/>
    <w:pPr>
      <w:ind w:left="200" w:hanging="200"/>
    </w:pPr>
  </w:style>
  <w:style w:type="paragraph" w:styleId="ndice2">
    <w:name w:val="index 2"/>
    <w:basedOn w:val="Normal"/>
    <w:next w:val="Normal"/>
    <w:autoRedefine/>
    <w:semiHidden/>
    <w:rsid w:val="001902F6"/>
    <w:pPr>
      <w:ind w:left="400" w:hanging="200"/>
    </w:pPr>
  </w:style>
  <w:style w:type="paragraph" w:styleId="ndice3">
    <w:name w:val="index 3"/>
    <w:basedOn w:val="Normal"/>
    <w:next w:val="Normal"/>
    <w:autoRedefine/>
    <w:semiHidden/>
    <w:rsid w:val="001902F6"/>
    <w:pPr>
      <w:ind w:left="600" w:hanging="200"/>
    </w:pPr>
  </w:style>
  <w:style w:type="paragraph" w:styleId="ndice4">
    <w:name w:val="index 4"/>
    <w:basedOn w:val="Normal"/>
    <w:next w:val="Normal"/>
    <w:autoRedefine/>
    <w:semiHidden/>
    <w:rsid w:val="001902F6"/>
    <w:pPr>
      <w:ind w:left="800" w:hanging="200"/>
    </w:pPr>
  </w:style>
  <w:style w:type="paragraph" w:styleId="ndice5">
    <w:name w:val="index 5"/>
    <w:basedOn w:val="Normal"/>
    <w:next w:val="Normal"/>
    <w:autoRedefine/>
    <w:semiHidden/>
    <w:rsid w:val="001902F6"/>
    <w:pPr>
      <w:ind w:left="1000" w:hanging="200"/>
    </w:pPr>
  </w:style>
  <w:style w:type="paragraph" w:styleId="ndice6">
    <w:name w:val="index 6"/>
    <w:basedOn w:val="Normal"/>
    <w:next w:val="Normal"/>
    <w:autoRedefine/>
    <w:semiHidden/>
    <w:rsid w:val="001902F6"/>
    <w:pPr>
      <w:ind w:left="1200" w:hanging="200"/>
    </w:pPr>
  </w:style>
  <w:style w:type="paragraph" w:styleId="ndice7">
    <w:name w:val="index 7"/>
    <w:basedOn w:val="Normal"/>
    <w:next w:val="Normal"/>
    <w:autoRedefine/>
    <w:semiHidden/>
    <w:rsid w:val="001902F6"/>
    <w:pPr>
      <w:ind w:left="1400" w:hanging="200"/>
    </w:pPr>
  </w:style>
  <w:style w:type="paragraph" w:styleId="ndice8">
    <w:name w:val="index 8"/>
    <w:basedOn w:val="Normal"/>
    <w:next w:val="Normal"/>
    <w:autoRedefine/>
    <w:semiHidden/>
    <w:rsid w:val="001902F6"/>
    <w:pPr>
      <w:ind w:left="1600" w:hanging="200"/>
    </w:pPr>
  </w:style>
  <w:style w:type="paragraph" w:styleId="ndice9">
    <w:name w:val="index 9"/>
    <w:basedOn w:val="Normal"/>
    <w:next w:val="Normal"/>
    <w:autoRedefine/>
    <w:semiHidden/>
    <w:rsid w:val="001902F6"/>
    <w:pPr>
      <w:ind w:left="1800" w:hanging="200"/>
    </w:pPr>
  </w:style>
  <w:style w:type="paragraph" w:styleId="Ttulodendice">
    <w:name w:val="index heading"/>
    <w:basedOn w:val="Normal"/>
    <w:next w:val="ndice1"/>
    <w:semiHidden/>
    <w:rsid w:val="001902F6"/>
    <w:rPr>
      <w:rFonts w:ascii="Arial" w:hAnsi="Arial" w:cs="Arial"/>
      <w:b/>
      <w:bCs/>
    </w:rPr>
  </w:style>
  <w:style w:type="character" w:styleId="Nmerodelnea">
    <w:name w:val="line number"/>
    <w:basedOn w:val="Fuentedeprrafopredeter"/>
    <w:semiHidden/>
    <w:rsid w:val="001902F6"/>
  </w:style>
  <w:style w:type="paragraph" w:styleId="Lista">
    <w:name w:val="List"/>
    <w:basedOn w:val="Normal"/>
    <w:semiHidden/>
    <w:rsid w:val="001902F6"/>
    <w:pPr>
      <w:ind w:left="283" w:hanging="283"/>
    </w:pPr>
  </w:style>
  <w:style w:type="paragraph" w:styleId="Lista2">
    <w:name w:val="List 2"/>
    <w:basedOn w:val="Normal"/>
    <w:semiHidden/>
    <w:rsid w:val="001902F6"/>
    <w:pPr>
      <w:ind w:left="566" w:hanging="283"/>
    </w:pPr>
  </w:style>
  <w:style w:type="paragraph" w:styleId="Lista3">
    <w:name w:val="List 3"/>
    <w:basedOn w:val="Normal"/>
    <w:semiHidden/>
    <w:rsid w:val="001902F6"/>
    <w:pPr>
      <w:ind w:left="849" w:hanging="283"/>
    </w:pPr>
  </w:style>
  <w:style w:type="paragraph" w:styleId="Lista4">
    <w:name w:val="List 4"/>
    <w:basedOn w:val="Normal"/>
    <w:semiHidden/>
    <w:rsid w:val="001902F6"/>
    <w:pPr>
      <w:ind w:left="1132" w:hanging="283"/>
    </w:pPr>
  </w:style>
  <w:style w:type="paragraph" w:styleId="Lista5">
    <w:name w:val="List 5"/>
    <w:basedOn w:val="Normal"/>
    <w:semiHidden/>
    <w:rsid w:val="001902F6"/>
    <w:pPr>
      <w:ind w:left="1415" w:hanging="283"/>
    </w:pPr>
  </w:style>
  <w:style w:type="paragraph" w:styleId="Listaconvietas">
    <w:name w:val="List Bullet"/>
    <w:basedOn w:val="Normal"/>
    <w:semiHidden/>
    <w:rsid w:val="001902F6"/>
    <w:pPr>
      <w:numPr>
        <w:numId w:val="5"/>
      </w:numPr>
    </w:pPr>
  </w:style>
  <w:style w:type="paragraph" w:styleId="Listaconvietas2">
    <w:name w:val="List Bullet 2"/>
    <w:basedOn w:val="Normal"/>
    <w:semiHidden/>
    <w:rsid w:val="001902F6"/>
    <w:pPr>
      <w:numPr>
        <w:numId w:val="6"/>
      </w:numPr>
    </w:pPr>
  </w:style>
  <w:style w:type="paragraph" w:styleId="Listaconvietas3">
    <w:name w:val="List Bullet 3"/>
    <w:basedOn w:val="Normal"/>
    <w:semiHidden/>
    <w:rsid w:val="001902F6"/>
    <w:pPr>
      <w:numPr>
        <w:numId w:val="7"/>
      </w:numPr>
    </w:pPr>
  </w:style>
  <w:style w:type="paragraph" w:styleId="Listaconvietas4">
    <w:name w:val="List Bullet 4"/>
    <w:basedOn w:val="Normal"/>
    <w:semiHidden/>
    <w:rsid w:val="001902F6"/>
    <w:pPr>
      <w:numPr>
        <w:numId w:val="8"/>
      </w:numPr>
      <w:tabs>
        <w:tab w:val="clear" w:pos="1209"/>
        <w:tab w:val="num" w:pos="360"/>
      </w:tabs>
      <w:ind w:left="0" w:firstLine="0"/>
    </w:pPr>
  </w:style>
  <w:style w:type="paragraph" w:styleId="Listaconvietas5">
    <w:name w:val="List Bullet 5"/>
    <w:basedOn w:val="Normal"/>
    <w:semiHidden/>
    <w:rsid w:val="001902F6"/>
    <w:pPr>
      <w:numPr>
        <w:numId w:val="9"/>
      </w:numPr>
    </w:pPr>
  </w:style>
  <w:style w:type="paragraph" w:styleId="Continuarlista">
    <w:name w:val="List Continue"/>
    <w:basedOn w:val="Normal"/>
    <w:semiHidden/>
    <w:rsid w:val="001902F6"/>
    <w:pPr>
      <w:spacing w:after="120"/>
      <w:ind w:left="283"/>
    </w:pPr>
  </w:style>
  <w:style w:type="paragraph" w:styleId="Continuarlista2">
    <w:name w:val="List Continue 2"/>
    <w:basedOn w:val="Normal"/>
    <w:semiHidden/>
    <w:rsid w:val="001902F6"/>
    <w:pPr>
      <w:spacing w:after="120"/>
      <w:ind w:left="566"/>
    </w:pPr>
  </w:style>
  <w:style w:type="paragraph" w:styleId="Continuarlista3">
    <w:name w:val="List Continue 3"/>
    <w:basedOn w:val="Normal"/>
    <w:semiHidden/>
    <w:rsid w:val="001902F6"/>
    <w:pPr>
      <w:spacing w:after="120"/>
      <w:ind w:left="849"/>
    </w:pPr>
  </w:style>
  <w:style w:type="paragraph" w:styleId="Continuarlista4">
    <w:name w:val="List Continue 4"/>
    <w:basedOn w:val="Normal"/>
    <w:semiHidden/>
    <w:rsid w:val="001902F6"/>
    <w:pPr>
      <w:spacing w:after="120"/>
      <w:ind w:left="1132"/>
    </w:pPr>
  </w:style>
  <w:style w:type="paragraph" w:styleId="Continuarlista5">
    <w:name w:val="List Continue 5"/>
    <w:basedOn w:val="Normal"/>
    <w:semiHidden/>
    <w:rsid w:val="001902F6"/>
    <w:pPr>
      <w:spacing w:after="120"/>
      <w:ind w:left="1415"/>
    </w:pPr>
  </w:style>
  <w:style w:type="paragraph" w:styleId="Listaconnmeros">
    <w:name w:val="List Number"/>
    <w:basedOn w:val="Normal"/>
    <w:semiHidden/>
    <w:rsid w:val="001902F6"/>
    <w:pPr>
      <w:numPr>
        <w:numId w:val="10"/>
      </w:numPr>
    </w:pPr>
  </w:style>
  <w:style w:type="paragraph" w:styleId="Listaconnmeros2">
    <w:name w:val="List Number 2"/>
    <w:basedOn w:val="Normal"/>
    <w:semiHidden/>
    <w:rsid w:val="001902F6"/>
    <w:pPr>
      <w:numPr>
        <w:numId w:val="11"/>
      </w:numPr>
    </w:pPr>
  </w:style>
  <w:style w:type="paragraph" w:styleId="Listaconnmeros3">
    <w:name w:val="List Number 3"/>
    <w:basedOn w:val="Normal"/>
    <w:semiHidden/>
    <w:rsid w:val="001902F6"/>
    <w:pPr>
      <w:numPr>
        <w:numId w:val="12"/>
      </w:numPr>
    </w:pPr>
  </w:style>
  <w:style w:type="paragraph" w:styleId="Listaconnmeros4">
    <w:name w:val="List Number 4"/>
    <w:basedOn w:val="Normal"/>
    <w:semiHidden/>
    <w:rsid w:val="001902F6"/>
    <w:pPr>
      <w:numPr>
        <w:numId w:val="13"/>
      </w:numPr>
    </w:pPr>
  </w:style>
  <w:style w:type="paragraph" w:styleId="Listaconnmeros5">
    <w:name w:val="List Number 5"/>
    <w:basedOn w:val="Normal"/>
    <w:semiHidden/>
    <w:rsid w:val="001902F6"/>
    <w:pPr>
      <w:numPr>
        <w:numId w:val="14"/>
      </w:numPr>
    </w:pPr>
  </w:style>
  <w:style w:type="paragraph" w:styleId="Textomacro">
    <w:name w:val="macro"/>
    <w:semiHidden/>
    <w:rsid w:val="001902F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GB"/>
    </w:rPr>
  </w:style>
  <w:style w:type="paragraph" w:styleId="Encabezadodemensaje">
    <w:name w:val="Message Header"/>
    <w:basedOn w:val="Normal"/>
    <w:semiHidden/>
    <w:rsid w:val="001902F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semiHidden/>
    <w:rsid w:val="001902F6"/>
    <w:rPr>
      <w:rFonts w:ascii="Times New Roman" w:hAnsi="Times New Roman"/>
      <w:sz w:val="24"/>
    </w:rPr>
  </w:style>
  <w:style w:type="paragraph" w:styleId="Sangranormal">
    <w:name w:val="Normal Indent"/>
    <w:basedOn w:val="Normal"/>
    <w:semiHidden/>
    <w:rsid w:val="001902F6"/>
    <w:pPr>
      <w:ind w:left="720"/>
    </w:pPr>
  </w:style>
  <w:style w:type="paragraph" w:styleId="Encabezadodenota">
    <w:name w:val="Note Heading"/>
    <w:basedOn w:val="Normal"/>
    <w:next w:val="Normal"/>
    <w:semiHidden/>
    <w:rsid w:val="001902F6"/>
  </w:style>
  <w:style w:type="character" w:styleId="Nmerodepgina">
    <w:name w:val="page number"/>
    <w:basedOn w:val="Fuentedeprrafopredeter"/>
    <w:semiHidden/>
    <w:rsid w:val="001902F6"/>
  </w:style>
  <w:style w:type="paragraph" w:styleId="Textosinformato">
    <w:name w:val="Plain Text"/>
    <w:basedOn w:val="Normal"/>
    <w:semiHidden/>
    <w:rsid w:val="001902F6"/>
    <w:rPr>
      <w:rFonts w:ascii="Courier New" w:hAnsi="Courier New" w:cs="Courier New"/>
      <w:szCs w:val="20"/>
    </w:rPr>
  </w:style>
  <w:style w:type="paragraph" w:styleId="Saludo">
    <w:name w:val="Salutation"/>
    <w:basedOn w:val="Normal"/>
    <w:next w:val="Normal"/>
    <w:semiHidden/>
    <w:rsid w:val="001902F6"/>
  </w:style>
  <w:style w:type="paragraph" w:styleId="Firma">
    <w:name w:val="Signature"/>
    <w:basedOn w:val="Normal"/>
    <w:semiHidden/>
    <w:rsid w:val="001902F6"/>
    <w:pPr>
      <w:ind w:left="4252"/>
    </w:pPr>
  </w:style>
  <w:style w:type="character" w:styleId="Fuerte">
    <w:name w:val="Strong"/>
    <w:basedOn w:val="Fuentedeprrafopredeter"/>
    <w:qFormat/>
    <w:rsid w:val="001902F6"/>
    <w:rPr>
      <w:b/>
      <w:bCs/>
    </w:rPr>
  </w:style>
  <w:style w:type="paragraph" w:styleId="Subttulo">
    <w:name w:val="Subtitle"/>
    <w:basedOn w:val="Normal"/>
    <w:qFormat/>
    <w:rsid w:val="001902F6"/>
    <w:pPr>
      <w:spacing w:after="60"/>
      <w:jc w:val="center"/>
      <w:outlineLvl w:val="1"/>
    </w:pPr>
    <w:rPr>
      <w:rFonts w:ascii="Arial" w:hAnsi="Arial" w:cs="Arial"/>
      <w:sz w:val="24"/>
    </w:rPr>
  </w:style>
  <w:style w:type="table" w:styleId="Tablaconefectos3D1">
    <w:name w:val="Table 3D effects 1"/>
    <w:basedOn w:val="Tablanormal"/>
    <w:semiHidden/>
    <w:rsid w:val="001902F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1902F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1902F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semiHidden/>
    <w:rsid w:val="001902F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1902F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1902F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1902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semiHidden/>
    <w:rsid w:val="001902F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1902F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1902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semiHidden/>
    <w:rsid w:val="001902F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1902F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1902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1902F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1902F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semiHidden/>
    <w:rsid w:val="001902F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semiHidden/>
    <w:rsid w:val="001902F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
    <w:name w:val="Table Grid"/>
    <w:basedOn w:val="Tablanormal"/>
    <w:semiHidden/>
    <w:rsid w:val="00190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
    <w:name w:val="Table Grid 1"/>
    <w:basedOn w:val="Tablanormal"/>
    <w:semiHidden/>
    <w:rsid w:val="001902F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semiHidden/>
    <w:rsid w:val="001902F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semiHidden/>
    <w:rsid w:val="001902F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semiHidden/>
    <w:rsid w:val="001902F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1902F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1902F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1902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1902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semiHidden/>
    <w:rsid w:val="001902F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1902F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1902F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1902F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1902F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1902F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1902F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1902F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semiHidden/>
    <w:rsid w:val="001902F6"/>
    <w:pPr>
      <w:ind w:left="200" w:hanging="200"/>
    </w:pPr>
  </w:style>
  <w:style w:type="paragraph" w:styleId="Tabladeilustraciones">
    <w:name w:val="table of figures"/>
    <w:basedOn w:val="Normal"/>
    <w:next w:val="Normal"/>
    <w:semiHidden/>
    <w:rsid w:val="001902F6"/>
  </w:style>
  <w:style w:type="table" w:styleId="Tablaprofesional">
    <w:name w:val="Table Professional"/>
    <w:basedOn w:val="Tablanormal"/>
    <w:semiHidden/>
    <w:rsid w:val="001902F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semiHidden/>
    <w:rsid w:val="001902F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1902F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1902F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rsid w:val="001902F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1902F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semiHidden/>
    <w:rsid w:val="00190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semiHidden/>
    <w:rsid w:val="001902F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1902F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1902F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tulo">
    <w:name w:val="Title"/>
    <w:basedOn w:val="Normal"/>
    <w:qFormat/>
    <w:rsid w:val="001902F6"/>
    <w:pPr>
      <w:spacing w:before="240" w:after="60"/>
      <w:jc w:val="center"/>
      <w:outlineLvl w:val="0"/>
    </w:pPr>
    <w:rPr>
      <w:rFonts w:ascii="Arial" w:hAnsi="Arial" w:cs="Arial"/>
      <w:b/>
      <w:bCs/>
      <w:kern w:val="28"/>
      <w:sz w:val="32"/>
      <w:szCs w:val="32"/>
    </w:rPr>
  </w:style>
  <w:style w:type="paragraph" w:styleId="Encabezadodelista">
    <w:name w:val="toa heading"/>
    <w:basedOn w:val="Normal"/>
    <w:next w:val="Normal"/>
    <w:semiHidden/>
    <w:rsid w:val="001902F6"/>
    <w:pPr>
      <w:spacing w:before="120"/>
    </w:pPr>
    <w:rPr>
      <w:rFonts w:ascii="Arial" w:hAnsi="Arial" w:cs="Arial"/>
      <w:b/>
      <w:bCs/>
      <w:sz w:val="24"/>
    </w:rPr>
  </w:style>
  <w:style w:type="paragraph" w:styleId="TDC1">
    <w:name w:val="toc 1"/>
    <w:basedOn w:val="Normal"/>
    <w:next w:val="Normal"/>
    <w:autoRedefine/>
    <w:semiHidden/>
    <w:rsid w:val="001902F6"/>
  </w:style>
  <w:style w:type="paragraph" w:styleId="TDC2">
    <w:name w:val="toc 2"/>
    <w:basedOn w:val="Normal"/>
    <w:next w:val="Normal"/>
    <w:autoRedefine/>
    <w:semiHidden/>
    <w:rsid w:val="001902F6"/>
    <w:pPr>
      <w:ind w:left="200"/>
    </w:pPr>
  </w:style>
  <w:style w:type="paragraph" w:styleId="TDC3">
    <w:name w:val="toc 3"/>
    <w:basedOn w:val="Normal"/>
    <w:next w:val="Normal"/>
    <w:autoRedefine/>
    <w:semiHidden/>
    <w:rsid w:val="001902F6"/>
    <w:pPr>
      <w:ind w:left="400"/>
    </w:pPr>
  </w:style>
  <w:style w:type="paragraph" w:styleId="TDC4">
    <w:name w:val="toc 4"/>
    <w:basedOn w:val="Normal"/>
    <w:next w:val="Normal"/>
    <w:autoRedefine/>
    <w:semiHidden/>
    <w:rsid w:val="001902F6"/>
    <w:pPr>
      <w:ind w:left="600"/>
    </w:pPr>
  </w:style>
  <w:style w:type="paragraph" w:styleId="TDC5">
    <w:name w:val="toc 5"/>
    <w:basedOn w:val="Normal"/>
    <w:next w:val="Normal"/>
    <w:autoRedefine/>
    <w:semiHidden/>
    <w:rsid w:val="001902F6"/>
    <w:pPr>
      <w:ind w:left="800"/>
    </w:pPr>
  </w:style>
  <w:style w:type="paragraph" w:styleId="TDC6">
    <w:name w:val="toc 6"/>
    <w:basedOn w:val="Normal"/>
    <w:next w:val="Normal"/>
    <w:autoRedefine/>
    <w:semiHidden/>
    <w:rsid w:val="001902F6"/>
    <w:pPr>
      <w:ind w:left="1000"/>
    </w:pPr>
  </w:style>
  <w:style w:type="paragraph" w:styleId="TDC7">
    <w:name w:val="toc 7"/>
    <w:basedOn w:val="Normal"/>
    <w:next w:val="Normal"/>
    <w:autoRedefine/>
    <w:semiHidden/>
    <w:rsid w:val="001902F6"/>
    <w:pPr>
      <w:ind w:left="1200"/>
    </w:pPr>
  </w:style>
  <w:style w:type="paragraph" w:styleId="TDC8">
    <w:name w:val="toc 8"/>
    <w:basedOn w:val="Normal"/>
    <w:next w:val="Normal"/>
    <w:autoRedefine/>
    <w:semiHidden/>
    <w:rsid w:val="001902F6"/>
    <w:pPr>
      <w:ind w:left="1400"/>
    </w:pPr>
  </w:style>
  <w:style w:type="paragraph" w:styleId="TDC9">
    <w:name w:val="toc 9"/>
    <w:basedOn w:val="Normal"/>
    <w:next w:val="Normal"/>
    <w:autoRedefine/>
    <w:semiHidden/>
    <w:rsid w:val="001902F6"/>
    <w:pPr>
      <w:ind w:left="1600"/>
    </w:pPr>
  </w:style>
  <w:style w:type="character" w:customStyle="1" w:styleId="BDONormalChar">
    <w:name w:val="BDO_Normal Char"/>
    <w:basedOn w:val="Fuentedeprrafopredeter"/>
    <w:link w:val="BDONormal"/>
    <w:rsid w:val="00560531"/>
    <w:rPr>
      <w:rFonts w:ascii="Trebuchet MS" w:hAnsi="Trebuchet MS"/>
      <w:szCs w:val="24"/>
      <w:lang w:val="en-US" w:eastAsia="en-GB" w:bidi="ar-SA"/>
    </w:rPr>
  </w:style>
  <w:style w:type="paragraph" w:customStyle="1" w:styleId="BDOFooterspace">
    <w:name w:val="BDO_Footerspace"/>
    <w:basedOn w:val="BDOFooter"/>
    <w:rsid w:val="00C86145"/>
    <w:pPr>
      <w:spacing w:line="80" w:lineRule="exact"/>
    </w:pPr>
    <w:rPr>
      <w:sz w:val="8"/>
      <w:lang w:val="it-IT"/>
    </w:rPr>
  </w:style>
  <w:style w:type="paragraph" w:customStyle="1" w:styleId="BDOToAddress">
    <w:name w:val="BDO_ToAddress"/>
    <w:basedOn w:val="Normal"/>
    <w:rsid w:val="007B56B9"/>
    <w:pPr>
      <w:spacing w:line="280" w:lineRule="exact"/>
    </w:pPr>
  </w:style>
  <w:style w:type="paragraph" w:customStyle="1" w:styleId="BDODate">
    <w:name w:val="BDO_Date"/>
    <w:basedOn w:val="Normal"/>
    <w:rsid w:val="007B56B9"/>
    <w:pPr>
      <w:spacing w:before="280" w:line="280" w:lineRule="exact"/>
    </w:pPr>
  </w:style>
  <w:style w:type="character" w:customStyle="1" w:styleId="PiedepginaCar">
    <w:name w:val="Pie de página Car"/>
    <w:basedOn w:val="Fuentedeprrafopredeter"/>
    <w:link w:val="Piedepgina"/>
    <w:uiPriority w:val="99"/>
    <w:rsid w:val="00FE6B3C"/>
    <w:rPr>
      <w:rFonts w:ascii="Trebuchet MS" w:hAnsi="Trebuchet MS"/>
      <w:szCs w:val="24"/>
      <w:lang w:val="en-US" w:eastAsia="en-GB"/>
    </w:rPr>
  </w:style>
  <w:style w:type="paragraph" w:styleId="Prrafodelista">
    <w:name w:val="List Paragraph"/>
    <w:basedOn w:val="Normal"/>
    <w:uiPriority w:val="34"/>
    <w:qFormat/>
    <w:rsid w:val="008E5B66"/>
    <w:pPr>
      <w:ind w:left="720"/>
      <w:contextualSpacing/>
    </w:pPr>
  </w:style>
  <w:style w:type="character" w:styleId="Mencinsinresolver">
    <w:name w:val="Unresolved Mention"/>
    <w:basedOn w:val="Fuentedeprrafopredeter"/>
    <w:uiPriority w:val="99"/>
    <w:semiHidden/>
    <w:unhideWhenUsed/>
    <w:rsid w:val="00754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6310">
      <w:bodyDiv w:val="1"/>
      <w:marLeft w:val="0"/>
      <w:marRight w:val="0"/>
      <w:marTop w:val="0"/>
      <w:marBottom w:val="0"/>
      <w:divBdr>
        <w:top w:val="none" w:sz="0" w:space="0" w:color="auto"/>
        <w:left w:val="none" w:sz="0" w:space="0" w:color="auto"/>
        <w:bottom w:val="none" w:sz="0" w:space="0" w:color="auto"/>
        <w:right w:val="none" w:sz="0" w:space="0" w:color="auto"/>
      </w:divBdr>
    </w:div>
    <w:div w:id="88241635">
      <w:bodyDiv w:val="1"/>
      <w:marLeft w:val="0"/>
      <w:marRight w:val="0"/>
      <w:marTop w:val="0"/>
      <w:marBottom w:val="0"/>
      <w:divBdr>
        <w:top w:val="none" w:sz="0" w:space="0" w:color="auto"/>
        <w:left w:val="none" w:sz="0" w:space="0" w:color="auto"/>
        <w:bottom w:val="none" w:sz="0" w:space="0" w:color="auto"/>
        <w:right w:val="none" w:sz="0" w:space="0" w:color="auto"/>
      </w:divBdr>
    </w:div>
    <w:div w:id="240257491">
      <w:bodyDiv w:val="1"/>
      <w:marLeft w:val="0"/>
      <w:marRight w:val="0"/>
      <w:marTop w:val="0"/>
      <w:marBottom w:val="0"/>
      <w:divBdr>
        <w:top w:val="none" w:sz="0" w:space="0" w:color="auto"/>
        <w:left w:val="none" w:sz="0" w:space="0" w:color="auto"/>
        <w:bottom w:val="none" w:sz="0" w:space="0" w:color="auto"/>
        <w:right w:val="none" w:sz="0" w:space="0" w:color="auto"/>
      </w:divBdr>
    </w:div>
    <w:div w:id="253629387">
      <w:bodyDiv w:val="1"/>
      <w:marLeft w:val="0"/>
      <w:marRight w:val="0"/>
      <w:marTop w:val="0"/>
      <w:marBottom w:val="0"/>
      <w:divBdr>
        <w:top w:val="none" w:sz="0" w:space="0" w:color="auto"/>
        <w:left w:val="none" w:sz="0" w:space="0" w:color="auto"/>
        <w:bottom w:val="none" w:sz="0" w:space="0" w:color="auto"/>
        <w:right w:val="none" w:sz="0" w:space="0" w:color="auto"/>
      </w:divBdr>
    </w:div>
    <w:div w:id="262883865">
      <w:bodyDiv w:val="1"/>
      <w:marLeft w:val="0"/>
      <w:marRight w:val="0"/>
      <w:marTop w:val="0"/>
      <w:marBottom w:val="0"/>
      <w:divBdr>
        <w:top w:val="none" w:sz="0" w:space="0" w:color="auto"/>
        <w:left w:val="none" w:sz="0" w:space="0" w:color="auto"/>
        <w:bottom w:val="none" w:sz="0" w:space="0" w:color="auto"/>
        <w:right w:val="none" w:sz="0" w:space="0" w:color="auto"/>
      </w:divBdr>
    </w:div>
    <w:div w:id="336663182">
      <w:bodyDiv w:val="1"/>
      <w:marLeft w:val="0"/>
      <w:marRight w:val="0"/>
      <w:marTop w:val="0"/>
      <w:marBottom w:val="0"/>
      <w:divBdr>
        <w:top w:val="none" w:sz="0" w:space="0" w:color="auto"/>
        <w:left w:val="none" w:sz="0" w:space="0" w:color="auto"/>
        <w:bottom w:val="none" w:sz="0" w:space="0" w:color="auto"/>
        <w:right w:val="none" w:sz="0" w:space="0" w:color="auto"/>
      </w:divBdr>
    </w:div>
    <w:div w:id="372703730">
      <w:bodyDiv w:val="1"/>
      <w:marLeft w:val="0"/>
      <w:marRight w:val="0"/>
      <w:marTop w:val="0"/>
      <w:marBottom w:val="0"/>
      <w:divBdr>
        <w:top w:val="none" w:sz="0" w:space="0" w:color="auto"/>
        <w:left w:val="none" w:sz="0" w:space="0" w:color="auto"/>
        <w:bottom w:val="none" w:sz="0" w:space="0" w:color="auto"/>
        <w:right w:val="none" w:sz="0" w:space="0" w:color="auto"/>
      </w:divBdr>
    </w:div>
    <w:div w:id="419836510">
      <w:bodyDiv w:val="1"/>
      <w:marLeft w:val="0"/>
      <w:marRight w:val="0"/>
      <w:marTop w:val="0"/>
      <w:marBottom w:val="0"/>
      <w:divBdr>
        <w:top w:val="none" w:sz="0" w:space="0" w:color="auto"/>
        <w:left w:val="none" w:sz="0" w:space="0" w:color="auto"/>
        <w:bottom w:val="none" w:sz="0" w:space="0" w:color="auto"/>
        <w:right w:val="none" w:sz="0" w:space="0" w:color="auto"/>
      </w:divBdr>
    </w:div>
    <w:div w:id="472602465">
      <w:bodyDiv w:val="1"/>
      <w:marLeft w:val="0"/>
      <w:marRight w:val="0"/>
      <w:marTop w:val="0"/>
      <w:marBottom w:val="0"/>
      <w:divBdr>
        <w:top w:val="none" w:sz="0" w:space="0" w:color="auto"/>
        <w:left w:val="none" w:sz="0" w:space="0" w:color="auto"/>
        <w:bottom w:val="none" w:sz="0" w:space="0" w:color="auto"/>
        <w:right w:val="none" w:sz="0" w:space="0" w:color="auto"/>
      </w:divBdr>
    </w:div>
    <w:div w:id="589043380">
      <w:bodyDiv w:val="1"/>
      <w:marLeft w:val="0"/>
      <w:marRight w:val="0"/>
      <w:marTop w:val="0"/>
      <w:marBottom w:val="0"/>
      <w:divBdr>
        <w:top w:val="none" w:sz="0" w:space="0" w:color="auto"/>
        <w:left w:val="none" w:sz="0" w:space="0" w:color="auto"/>
        <w:bottom w:val="none" w:sz="0" w:space="0" w:color="auto"/>
        <w:right w:val="none" w:sz="0" w:space="0" w:color="auto"/>
      </w:divBdr>
    </w:div>
    <w:div w:id="671223823">
      <w:bodyDiv w:val="1"/>
      <w:marLeft w:val="0"/>
      <w:marRight w:val="0"/>
      <w:marTop w:val="0"/>
      <w:marBottom w:val="0"/>
      <w:divBdr>
        <w:top w:val="none" w:sz="0" w:space="0" w:color="auto"/>
        <w:left w:val="none" w:sz="0" w:space="0" w:color="auto"/>
        <w:bottom w:val="none" w:sz="0" w:space="0" w:color="auto"/>
        <w:right w:val="none" w:sz="0" w:space="0" w:color="auto"/>
      </w:divBdr>
    </w:div>
    <w:div w:id="758797557">
      <w:bodyDiv w:val="1"/>
      <w:marLeft w:val="0"/>
      <w:marRight w:val="0"/>
      <w:marTop w:val="0"/>
      <w:marBottom w:val="0"/>
      <w:divBdr>
        <w:top w:val="none" w:sz="0" w:space="0" w:color="auto"/>
        <w:left w:val="none" w:sz="0" w:space="0" w:color="auto"/>
        <w:bottom w:val="none" w:sz="0" w:space="0" w:color="auto"/>
        <w:right w:val="none" w:sz="0" w:space="0" w:color="auto"/>
      </w:divBdr>
    </w:div>
    <w:div w:id="827328784">
      <w:bodyDiv w:val="1"/>
      <w:marLeft w:val="0"/>
      <w:marRight w:val="0"/>
      <w:marTop w:val="0"/>
      <w:marBottom w:val="0"/>
      <w:divBdr>
        <w:top w:val="none" w:sz="0" w:space="0" w:color="auto"/>
        <w:left w:val="none" w:sz="0" w:space="0" w:color="auto"/>
        <w:bottom w:val="none" w:sz="0" w:space="0" w:color="auto"/>
        <w:right w:val="none" w:sz="0" w:space="0" w:color="auto"/>
      </w:divBdr>
    </w:div>
    <w:div w:id="889269244">
      <w:bodyDiv w:val="1"/>
      <w:marLeft w:val="0"/>
      <w:marRight w:val="0"/>
      <w:marTop w:val="0"/>
      <w:marBottom w:val="0"/>
      <w:divBdr>
        <w:top w:val="none" w:sz="0" w:space="0" w:color="auto"/>
        <w:left w:val="none" w:sz="0" w:space="0" w:color="auto"/>
        <w:bottom w:val="none" w:sz="0" w:space="0" w:color="auto"/>
        <w:right w:val="none" w:sz="0" w:space="0" w:color="auto"/>
      </w:divBdr>
    </w:div>
    <w:div w:id="894395174">
      <w:bodyDiv w:val="1"/>
      <w:marLeft w:val="0"/>
      <w:marRight w:val="0"/>
      <w:marTop w:val="0"/>
      <w:marBottom w:val="0"/>
      <w:divBdr>
        <w:top w:val="none" w:sz="0" w:space="0" w:color="auto"/>
        <w:left w:val="none" w:sz="0" w:space="0" w:color="auto"/>
        <w:bottom w:val="none" w:sz="0" w:space="0" w:color="auto"/>
        <w:right w:val="none" w:sz="0" w:space="0" w:color="auto"/>
      </w:divBdr>
    </w:div>
    <w:div w:id="944776162">
      <w:bodyDiv w:val="1"/>
      <w:marLeft w:val="0"/>
      <w:marRight w:val="0"/>
      <w:marTop w:val="0"/>
      <w:marBottom w:val="0"/>
      <w:divBdr>
        <w:top w:val="none" w:sz="0" w:space="0" w:color="auto"/>
        <w:left w:val="none" w:sz="0" w:space="0" w:color="auto"/>
        <w:bottom w:val="none" w:sz="0" w:space="0" w:color="auto"/>
        <w:right w:val="none" w:sz="0" w:space="0" w:color="auto"/>
      </w:divBdr>
    </w:div>
    <w:div w:id="976182925">
      <w:bodyDiv w:val="1"/>
      <w:marLeft w:val="0"/>
      <w:marRight w:val="0"/>
      <w:marTop w:val="0"/>
      <w:marBottom w:val="0"/>
      <w:divBdr>
        <w:top w:val="none" w:sz="0" w:space="0" w:color="auto"/>
        <w:left w:val="none" w:sz="0" w:space="0" w:color="auto"/>
        <w:bottom w:val="none" w:sz="0" w:space="0" w:color="auto"/>
        <w:right w:val="none" w:sz="0" w:space="0" w:color="auto"/>
      </w:divBdr>
    </w:div>
    <w:div w:id="1223295667">
      <w:bodyDiv w:val="1"/>
      <w:marLeft w:val="0"/>
      <w:marRight w:val="0"/>
      <w:marTop w:val="0"/>
      <w:marBottom w:val="0"/>
      <w:divBdr>
        <w:top w:val="none" w:sz="0" w:space="0" w:color="auto"/>
        <w:left w:val="none" w:sz="0" w:space="0" w:color="auto"/>
        <w:bottom w:val="none" w:sz="0" w:space="0" w:color="auto"/>
        <w:right w:val="none" w:sz="0" w:space="0" w:color="auto"/>
      </w:divBdr>
    </w:div>
    <w:div w:id="1312325163">
      <w:bodyDiv w:val="1"/>
      <w:marLeft w:val="0"/>
      <w:marRight w:val="0"/>
      <w:marTop w:val="0"/>
      <w:marBottom w:val="0"/>
      <w:divBdr>
        <w:top w:val="none" w:sz="0" w:space="0" w:color="auto"/>
        <w:left w:val="none" w:sz="0" w:space="0" w:color="auto"/>
        <w:bottom w:val="none" w:sz="0" w:space="0" w:color="auto"/>
        <w:right w:val="none" w:sz="0" w:space="0" w:color="auto"/>
      </w:divBdr>
    </w:div>
    <w:div w:id="1359234457">
      <w:bodyDiv w:val="1"/>
      <w:marLeft w:val="0"/>
      <w:marRight w:val="0"/>
      <w:marTop w:val="0"/>
      <w:marBottom w:val="0"/>
      <w:divBdr>
        <w:top w:val="none" w:sz="0" w:space="0" w:color="auto"/>
        <w:left w:val="none" w:sz="0" w:space="0" w:color="auto"/>
        <w:bottom w:val="none" w:sz="0" w:space="0" w:color="auto"/>
        <w:right w:val="none" w:sz="0" w:space="0" w:color="auto"/>
      </w:divBdr>
    </w:div>
    <w:div w:id="1418477557">
      <w:bodyDiv w:val="1"/>
      <w:marLeft w:val="0"/>
      <w:marRight w:val="0"/>
      <w:marTop w:val="0"/>
      <w:marBottom w:val="0"/>
      <w:divBdr>
        <w:top w:val="none" w:sz="0" w:space="0" w:color="auto"/>
        <w:left w:val="none" w:sz="0" w:space="0" w:color="auto"/>
        <w:bottom w:val="none" w:sz="0" w:space="0" w:color="auto"/>
        <w:right w:val="none" w:sz="0" w:space="0" w:color="auto"/>
      </w:divBdr>
    </w:div>
    <w:div w:id="1419521322">
      <w:bodyDiv w:val="1"/>
      <w:marLeft w:val="0"/>
      <w:marRight w:val="0"/>
      <w:marTop w:val="0"/>
      <w:marBottom w:val="0"/>
      <w:divBdr>
        <w:top w:val="none" w:sz="0" w:space="0" w:color="auto"/>
        <w:left w:val="none" w:sz="0" w:space="0" w:color="auto"/>
        <w:bottom w:val="none" w:sz="0" w:space="0" w:color="auto"/>
        <w:right w:val="none" w:sz="0" w:space="0" w:color="auto"/>
      </w:divBdr>
    </w:div>
    <w:div w:id="1753309222">
      <w:bodyDiv w:val="1"/>
      <w:marLeft w:val="0"/>
      <w:marRight w:val="0"/>
      <w:marTop w:val="0"/>
      <w:marBottom w:val="0"/>
      <w:divBdr>
        <w:top w:val="none" w:sz="0" w:space="0" w:color="auto"/>
        <w:left w:val="none" w:sz="0" w:space="0" w:color="auto"/>
        <w:bottom w:val="none" w:sz="0" w:space="0" w:color="auto"/>
        <w:right w:val="none" w:sz="0" w:space="0" w:color="auto"/>
      </w:divBdr>
    </w:div>
    <w:div w:id="1880700612">
      <w:bodyDiv w:val="1"/>
      <w:marLeft w:val="0"/>
      <w:marRight w:val="0"/>
      <w:marTop w:val="0"/>
      <w:marBottom w:val="0"/>
      <w:divBdr>
        <w:top w:val="none" w:sz="0" w:space="0" w:color="auto"/>
        <w:left w:val="none" w:sz="0" w:space="0" w:color="auto"/>
        <w:bottom w:val="none" w:sz="0" w:space="0" w:color="auto"/>
        <w:right w:val="none" w:sz="0" w:space="0" w:color="auto"/>
      </w:divBdr>
    </w:div>
    <w:div w:id="195914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eta.org.co/html/vista_de_un_articulo.asp?Norma=717"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ceta.org.co/html/vista_de_un_documento.asp?DocumentoID=59918&amp;zoom_highlight=%22impuesto+nacional+con+destino+al+turismo%22" TargetMode="External"/><Relationship Id="rId17" Type="http://schemas.openxmlformats.org/officeDocument/2006/relationships/hyperlink" Target="https://normograma.dian.gov.co/dian/" TargetMode="External"/><Relationship Id="rId2" Type="http://schemas.openxmlformats.org/officeDocument/2006/relationships/customXml" Target="../customXml/item2.xml"/><Relationship Id="rId16" Type="http://schemas.openxmlformats.org/officeDocument/2006/relationships/hyperlink" Target="https://www.ceta.org.co/html/vista_de_un_articulo.asp?Norma=102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ta.org.co/html/vista_de_un_documento.asp?DocumentoID=59918&amp;zoom_highlight=%22impuesto+nacional+con+destino+al+turismo%22" TargetMode="External"/><Relationship Id="rId5" Type="http://schemas.openxmlformats.org/officeDocument/2006/relationships/numbering" Target="numbering.xml"/><Relationship Id="rId15" Type="http://schemas.openxmlformats.org/officeDocument/2006/relationships/hyperlink" Target="https://www.ceta.org.co/html/vista_de_un_articulo.asp?Norma=89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eta.org.co/html/vista_de_un_documento.asp?DocumentoID=59918&amp;zoom_highlight=%22impuesto+nacional+con+destino+al+turismo%22"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duran\Desktop\requerimientos%20sede%20extern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0407C13A1F64E74989BA6AA007F8451D" ma:contentTypeVersion="19" ma:contentTypeDescription="Crear nuevo documento." ma:contentTypeScope="" ma:versionID="8d90d72aeb9538d7b90a370f0a694d1a">
  <xsd:schema xmlns:xsd="http://www.w3.org/2001/XMLSchema" xmlns:xs="http://www.w3.org/2001/XMLSchema" xmlns:p="http://schemas.microsoft.com/office/2006/metadata/properties" xmlns:ns2="a6632cc6-8be2-44c4-987e-09629009d3b8" xmlns:ns3="f7d28494-fc2e-40d2-80f6-2aee49a59a41" targetNamespace="http://schemas.microsoft.com/office/2006/metadata/properties" ma:root="true" ma:fieldsID="bc19ee5d19ed1eaeb48b0f3646ef2254" ns2:_="" ns3:_="">
    <xsd:import namespace="a6632cc6-8be2-44c4-987e-09629009d3b8"/>
    <xsd:import namespace="f7d28494-fc2e-40d2-80f6-2aee49a59a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AutoKeyPoints" minOccurs="0"/>
                <xsd:element ref="ns2:MediaServiceKeyPoints" minOccurs="0"/>
                <xsd:element ref="ns2:MediaServiceLocation" minOccurs="0"/>
                <xsd:element ref="ns2:_Flow_SignoffStatu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32cc6-8be2-44c4-987e-09629009d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Estado de aprobación" ma:internalName="Estado_x0020_de_x0020_aprobaci_x00f3_n">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c08d7221-c8f5-453d-b0c4-077ce746a3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d28494-fc2e-40d2-80f6-2aee49a59a41"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646390a2-eae7-4644-a705-6757894d6bae}" ma:internalName="TaxCatchAll" ma:showField="CatchAllData" ma:web="f7d28494-fc2e-40d2-80f6-2aee49a59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6632cc6-8be2-44c4-987e-09629009d3b8" xsi:nil="true"/>
    <lcf76f155ced4ddcb4097134ff3c332f xmlns="a6632cc6-8be2-44c4-987e-09629009d3b8">
      <Terms xmlns="http://schemas.microsoft.com/office/infopath/2007/PartnerControls"/>
    </lcf76f155ced4ddcb4097134ff3c332f>
    <TaxCatchAll xmlns="f7d28494-fc2e-40d2-80f6-2aee49a59a4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5C519D-C82E-4D94-B313-420CF17A4F60}">
  <ds:schemaRefs>
    <ds:schemaRef ds:uri="http://schemas.openxmlformats.org/officeDocument/2006/bibliography"/>
  </ds:schemaRefs>
</ds:datastoreItem>
</file>

<file path=customXml/itemProps2.xml><?xml version="1.0" encoding="utf-8"?>
<ds:datastoreItem xmlns:ds="http://schemas.openxmlformats.org/officeDocument/2006/customXml" ds:itemID="{FE56F4F5-2427-445B-98ED-9710B413F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32cc6-8be2-44c4-987e-09629009d3b8"/>
    <ds:schemaRef ds:uri="f7d28494-fc2e-40d2-80f6-2aee49a59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70E223-14B9-4953-A92A-64CEDA1564A6}">
  <ds:schemaRefs>
    <ds:schemaRef ds:uri="http://schemas.microsoft.com/office/2006/metadata/properties"/>
    <ds:schemaRef ds:uri="http://schemas.microsoft.com/office/infopath/2007/PartnerControls"/>
    <ds:schemaRef ds:uri="a6632cc6-8be2-44c4-987e-09629009d3b8"/>
    <ds:schemaRef ds:uri="f7d28494-fc2e-40d2-80f6-2aee49a59a41"/>
  </ds:schemaRefs>
</ds:datastoreItem>
</file>

<file path=customXml/itemProps4.xml><?xml version="1.0" encoding="utf-8"?>
<ds:datastoreItem xmlns:ds="http://schemas.openxmlformats.org/officeDocument/2006/customXml" ds:itemID="{E39D7297-B56D-415F-B188-1EAA809385DF}">
  <ds:schemaRefs>
    <ds:schemaRef ds:uri="http://schemas.microsoft.com/sharepoint/v3/contenttype/forms"/>
  </ds:schemaRefs>
</ds:datastoreItem>
</file>

<file path=docMetadata/LabelInfo.xml><?xml version="1.0" encoding="utf-8"?>
<clbl:labelList xmlns:clbl="http://schemas.microsoft.com/office/2020/mipLabelMetadata">
  <clbl:label id="{dbe97c7a-fc10-4cc2-b72a-e7346a5f0737}" enabled="1" method="Privileged" siteId="{c254eece-964c-40d3-81bd-d74656c087fd}" removed="0"/>
</clbl:labelList>
</file>

<file path=docProps/app.xml><?xml version="1.0" encoding="utf-8"?>
<Properties xmlns="http://schemas.openxmlformats.org/officeDocument/2006/extended-properties" xmlns:vt="http://schemas.openxmlformats.org/officeDocument/2006/docPropsVTypes">
  <Template>requerimientos sede externa</Template>
  <TotalTime>0</TotalTime>
  <Pages>1</Pages>
  <Words>1653</Words>
  <Characters>8401</Characters>
  <Application>Microsoft Office Word</Application>
  <DocSecurity>0</DocSecurity>
  <Lines>381</Lines>
  <Paragraphs>106</Paragraphs>
  <ScaleCrop>false</ScaleCrop>
  <HeadingPairs>
    <vt:vector size="2" baseType="variant">
      <vt:variant>
        <vt:lpstr>Título</vt:lpstr>
      </vt:variant>
      <vt:variant>
        <vt:i4>1</vt:i4>
      </vt:variant>
    </vt:vector>
  </HeadingPairs>
  <TitlesOfParts>
    <vt:vector size="1" baseType="lpstr">
      <vt:lpstr/>
    </vt:vector>
  </TitlesOfParts>
  <Company>Meta One Limited</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Mauricio Duran Bahamon</dc:creator>
  <cp:keywords/>
  <cp:lastModifiedBy>Julian Camilo Velosa Morales</cp:lastModifiedBy>
  <cp:revision>1</cp:revision>
  <cp:lastPrinted>2017-09-02T12:51:00Z</cp:lastPrinted>
  <dcterms:created xsi:type="dcterms:W3CDTF">2026-01-30T17:26:00Z</dcterms:created>
  <dcterms:modified xsi:type="dcterms:W3CDTF">2026-01-30T17:26:00Z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Ver">
    <vt:lpwstr>1.0.1</vt:lpwstr>
  </property>
  <property fmtid="{D5CDD505-2E9C-101B-9397-08002B2CF9AE}" pid="3" name="ContentTypeId">
    <vt:lpwstr>0x0101000407C13A1F64E74989BA6AA007F8451D</vt:lpwstr>
  </property>
  <property fmtid="{D5CDD505-2E9C-101B-9397-08002B2CF9AE}" pid="4" name="MSIP_Label_dbe97c7a-fc10-4cc2-b72a-e7346a5f0737_Enabled">
    <vt:lpwstr>true</vt:lpwstr>
  </property>
  <property fmtid="{D5CDD505-2E9C-101B-9397-08002B2CF9AE}" pid="5" name="MSIP_Label_dbe97c7a-fc10-4cc2-b72a-e7346a5f0737_SetDate">
    <vt:lpwstr>2022-08-17T20:01:41Z</vt:lpwstr>
  </property>
  <property fmtid="{D5CDD505-2E9C-101B-9397-08002B2CF9AE}" pid="6" name="MSIP_Label_dbe97c7a-fc10-4cc2-b72a-e7346a5f0737_Method">
    <vt:lpwstr>Privileged</vt:lpwstr>
  </property>
  <property fmtid="{D5CDD505-2E9C-101B-9397-08002B2CF9AE}" pid="7" name="MSIP_Label_dbe97c7a-fc10-4cc2-b72a-e7346a5f0737_Name">
    <vt:lpwstr>dbe97c7a-fc10-4cc2-b72a-e7346a5f0737</vt:lpwstr>
  </property>
  <property fmtid="{D5CDD505-2E9C-101B-9397-08002B2CF9AE}" pid="8" name="MSIP_Label_dbe97c7a-fc10-4cc2-b72a-e7346a5f0737_SiteId">
    <vt:lpwstr>c254eece-964c-40d3-81bd-d74656c087fd</vt:lpwstr>
  </property>
  <property fmtid="{D5CDD505-2E9C-101B-9397-08002B2CF9AE}" pid="9" name="MSIP_Label_dbe97c7a-fc10-4cc2-b72a-e7346a5f0737_ActionId">
    <vt:lpwstr>90d87f87-9530-483f-8795-53aabd591d2e</vt:lpwstr>
  </property>
  <property fmtid="{D5CDD505-2E9C-101B-9397-08002B2CF9AE}" pid="10" name="MSIP_Label_dbe97c7a-fc10-4cc2-b72a-e7346a5f0737_ContentBits">
    <vt:lpwstr>2</vt:lpwstr>
  </property>
</Properties>
</file>